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2D50D158"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CF0B9A">
        <w:rPr>
          <w:bCs/>
          <w:noProof w:val="0"/>
          <w:sz w:val="24"/>
        </w:rPr>
        <w:t>NR#2</w:t>
      </w:r>
      <w:r w:rsidRPr="00BC7BD4">
        <w:rPr>
          <w:bCs/>
          <w:noProof w:val="0"/>
          <w:sz w:val="24"/>
        </w:rPr>
        <w:t xml:space="preserve"> </w:t>
      </w:r>
      <w:r>
        <w:rPr>
          <w:bCs/>
          <w:noProof w:val="0"/>
          <w:sz w:val="24"/>
        </w:rPr>
        <w:tab/>
      </w:r>
      <w:r w:rsidR="00686AA1" w:rsidRPr="00686AA1">
        <w:rPr>
          <w:sz w:val="24"/>
          <w:szCs w:val="24"/>
        </w:rPr>
        <w:t>R1-1710884</w:t>
      </w:r>
    </w:p>
    <w:p w14:paraId="075FF6B3" w14:textId="2B5F9144" w:rsidR="00BC7BD4" w:rsidRPr="00BC7BD4" w:rsidRDefault="001E385D" w:rsidP="00BC7BD4">
      <w:pPr>
        <w:pStyle w:val="Header"/>
        <w:tabs>
          <w:tab w:val="right" w:pos="9639"/>
        </w:tabs>
        <w:rPr>
          <w:bCs/>
          <w:noProof w:val="0"/>
          <w:sz w:val="24"/>
        </w:rPr>
      </w:pPr>
      <w:r>
        <w:rPr>
          <w:bCs/>
          <w:noProof w:val="0"/>
          <w:sz w:val="24"/>
        </w:rPr>
        <w:t>Qingdao</w:t>
      </w:r>
      <w:r w:rsidR="00BC7BD4" w:rsidRPr="00BC7BD4">
        <w:rPr>
          <w:bCs/>
          <w:noProof w:val="0"/>
          <w:sz w:val="24"/>
        </w:rPr>
        <w:t>,</w:t>
      </w:r>
      <w:r w:rsidR="007E7BBD">
        <w:rPr>
          <w:bCs/>
          <w:noProof w:val="0"/>
          <w:sz w:val="24"/>
        </w:rPr>
        <w:t xml:space="preserve"> </w:t>
      </w:r>
      <w:r w:rsidR="00664F8B">
        <w:rPr>
          <w:bCs/>
          <w:noProof w:val="0"/>
          <w:sz w:val="24"/>
        </w:rPr>
        <w:t>China</w:t>
      </w:r>
      <w:r w:rsidR="00BC7BD4" w:rsidRPr="00BC7BD4">
        <w:rPr>
          <w:bCs/>
          <w:noProof w:val="0"/>
          <w:sz w:val="24"/>
        </w:rPr>
        <w:t xml:space="preserve">, </w:t>
      </w:r>
      <w:r>
        <w:rPr>
          <w:bCs/>
          <w:noProof w:val="0"/>
          <w:sz w:val="24"/>
        </w:rPr>
        <w:t>27</w:t>
      </w:r>
      <w:r w:rsidRPr="001E385D">
        <w:rPr>
          <w:bCs/>
          <w:noProof w:val="0"/>
          <w:sz w:val="24"/>
          <w:vertAlign w:val="superscript"/>
        </w:rPr>
        <w:t>th</w:t>
      </w:r>
      <w:r>
        <w:rPr>
          <w:bCs/>
          <w:noProof w:val="0"/>
          <w:sz w:val="24"/>
        </w:rPr>
        <w:t xml:space="preserve"> </w:t>
      </w:r>
      <w:r w:rsidR="00C722CB">
        <w:rPr>
          <w:bCs/>
          <w:noProof w:val="0"/>
          <w:sz w:val="24"/>
        </w:rPr>
        <w:t>-</w:t>
      </w:r>
      <w:r w:rsidR="00F73F23">
        <w:rPr>
          <w:bCs/>
          <w:noProof w:val="0"/>
          <w:sz w:val="24"/>
        </w:rPr>
        <w:t xml:space="preserve"> </w:t>
      </w:r>
      <w:bookmarkStart w:id="2" w:name="_GoBack"/>
      <w:bookmarkEnd w:id="2"/>
      <w:r>
        <w:rPr>
          <w:bCs/>
          <w:noProof w:val="0"/>
          <w:sz w:val="24"/>
        </w:rPr>
        <w:t>30</w:t>
      </w:r>
      <w:r w:rsidRPr="001E385D">
        <w:rPr>
          <w:bCs/>
          <w:noProof w:val="0"/>
          <w:sz w:val="24"/>
          <w:vertAlign w:val="superscript"/>
        </w:rPr>
        <w:t>th</w:t>
      </w:r>
      <w:r>
        <w:rPr>
          <w:bCs/>
          <w:noProof w:val="0"/>
          <w:sz w:val="24"/>
        </w:rPr>
        <w:t xml:space="preserve"> June</w:t>
      </w:r>
      <w:r w:rsidR="00BC7BD4" w:rsidRPr="00BC7BD4">
        <w:rPr>
          <w:bCs/>
          <w:noProof w:val="0"/>
          <w:sz w:val="24"/>
        </w:rPr>
        <w:t xml:space="preserve"> 2017</w:t>
      </w:r>
    </w:p>
    <w:p w14:paraId="0787E4BB" w14:textId="77777777" w:rsidR="00BC7BD4" w:rsidRDefault="00BC7BD4" w:rsidP="00BC7BD4">
      <w:pPr>
        <w:pStyle w:val="Header"/>
        <w:tabs>
          <w:tab w:val="right" w:pos="9639"/>
        </w:tabs>
        <w:rPr>
          <w:bCs/>
          <w:noProof w:val="0"/>
          <w:sz w:val="24"/>
        </w:rPr>
      </w:pPr>
    </w:p>
    <w:p w14:paraId="035E9A27" w14:textId="77777777"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Nokia, Alcatel-Lucent Shanghai Bell</w:t>
      </w:r>
    </w:p>
    <w:p w14:paraId="5F4C70D4" w14:textId="30299F35"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E11538">
        <w:rPr>
          <w:bCs/>
          <w:noProof w:val="0"/>
          <w:sz w:val="24"/>
        </w:rPr>
        <w:t>On NR CA/DC configuration</w:t>
      </w:r>
    </w:p>
    <w:bookmarkEnd w:id="0"/>
    <w:bookmarkEnd w:id="1"/>
    <w:p w14:paraId="12916ABB" w14:textId="1BBF15AF"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1E385D">
        <w:rPr>
          <w:rFonts w:cs="Arial"/>
          <w:b/>
          <w:bCs/>
          <w:sz w:val="24"/>
          <w:lang w:val="en-US"/>
        </w:rPr>
        <w:t>5</w:t>
      </w:r>
      <w:r w:rsidR="00C722CB" w:rsidRPr="00C722CB">
        <w:rPr>
          <w:rFonts w:cs="Arial"/>
          <w:b/>
          <w:bCs/>
          <w:sz w:val="24"/>
          <w:lang w:val="en-US"/>
        </w:rPr>
        <w:t>.1.3.4</w:t>
      </w:r>
      <w:r w:rsidR="001E385D">
        <w:rPr>
          <w:rFonts w:cs="Arial"/>
          <w:b/>
          <w:bCs/>
          <w:sz w:val="24"/>
          <w:lang w:val="en-US"/>
        </w:rPr>
        <w:t>.</w:t>
      </w:r>
      <w:r w:rsidR="00446C2A">
        <w:rPr>
          <w:rFonts w:cs="Arial"/>
          <w:b/>
          <w:bCs/>
          <w:sz w:val="24"/>
          <w:lang w:val="en-US"/>
        </w:rPr>
        <w:t>2</w:t>
      </w:r>
    </w:p>
    <w:p w14:paraId="6FB8491E" w14:textId="77777777" w:rsidR="0034111C" w:rsidRPr="008A6BFA" w:rsidRDefault="00787640" w:rsidP="00BC7BD4">
      <w:pPr>
        <w:tabs>
          <w:tab w:val="left" w:pos="1985"/>
        </w:tabs>
        <w:spacing w:line="360" w:lineRule="auto"/>
        <w:rPr>
          <w:rFonts w:ascii="Arial" w:hAnsi="Arial" w:cs="Arial"/>
          <w:b/>
          <w:bCs/>
          <w:sz w:val="24"/>
          <w:lang w:val="en-US"/>
        </w:rPr>
      </w:pPr>
      <w:r w:rsidRPr="008A6BFA">
        <w:rPr>
          <w:rFonts w:ascii="Arial" w:hAnsi="Arial" w:cs="Arial"/>
          <w:b/>
          <w:bCs/>
          <w:sz w:val="24"/>
          <w:lang w:val="en-US"/>
        </w:rPr>
        <w:t>Document for:</w:t>
      </w:r>
      <w:r w:rsidRPr="008A6BFA">
        <w:rPr>
          <w:rFonts w:ascii="Arial" w:hAnsi="Arial" w:cs="Arial"/>
          <w:b/>
          <w:bCs/>
          <w:sz w:val="24"/>
          <w:lang w:val="en-US"/>
        </w:rPr>
        <w:tab/>
      </w:r>
      <w:r w:rsidRPr="008A6BFA">
        <w:rPr>
          <w:rFonts w:ascii="Arial" w:hAnsi="Arial" w:cs="Arial"/>
          <w:b/>
          <w:bCs/>
          <w:sz w:val="24"/>
          <w:lang w:val="en-US"/>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3ECC41D6" w14:textId="3B9FC377" w:rsidR="00747022" w:rsidRPr="008A6BFA" w:rsidRDefault="000F1ADA" w:rsidP="009F2BEB">
      <w:pPr>
        <w:spacing w:before="120" w:after="120"/>
        <w:jc w:val="both"/>
        <w:rPr>
          <w:lang w:val="en-US"/>
        </w:rPr>
      </w:pPr>
      <w:r w:rsidRPr="008A6BFA">
        <w:rPr>
          <w:lang w:val="en-US"/>
        </w:rPr>
        <w:t xml:space="preserve">In </w:t>
      </w:r>
      <w:r w:rsidR="001738A8" w:rsidRPr="008A6BFA">
        <w:rPr>
          <w:lang w:val="en-US"/>
        </w:rPr>
        <w:t>RAN plenary #75, WID on NR has been</w:t>
      </w:r>
      <w:r w:rsidR="00CA6957" w:rsidRPr="008A6BFA">
        <w:rPr>
          <w:lang w:val="en-US"/>
        </w:rPr>
        <w:t xml:space="preserve"> approved</w:t>
      </w:r>
      <w:r w:rsidR="00DB3638" w:rsidRPr="008A6BFA">
        <w:rPr>
          <w:lang w:val="en-US"/>
        </w:rPr>
        <w:t xml:space="preserve"> in</w:t>
      </w:r>
      <w:r w:rsidR="00CA6957" w:rsidRPr="008A6BFA">
        <w:rPr>
          <w:lang w:val="en-US"/>
        </w:rPr>
        <w:t xml:space="preserve"> </w:t>
      </w:r>
      <w:r w:rsidR="00CA6957">
        <w:fldChar w:fldCharType="begin"/>
      </w:r>
      <w:r w:rsidR="00CA6957" w:rsidRPr="008A6BFA">
        <w:rPr>
          <w:lang w:val="en-US"/>
        </w:rPr>
        <w:instrText xml:space="preserve"> REF _Ref477708358 \r \h </w:instrText>
      </w:r>
      <w:r w:rsidR="00CA6957">
        <w:fldChar w:fldCharType="separate"/>
      </w:r>
      <w:r w:rsidR="00CA6957" w:rsidRPr="008A6BFA">
        <w:rPr>
          <w:lang w:val="en-US"/>
        </w:rPr>
        <w:t>[1]</w:t>
      </w:r>
      <w:r w:rsidR="00CA6957">
        <w:fldChar w:fldCharType="end"/>
      </w:r>
      <w:r w:rsidR="00CA6957" w:rsidRPr="008A6BFA">
        <w:rPr>
          <w:lang w:val="en-US"/>
        </w:rPr>
        <w:t>.</w:t>
      </w:r>
      <w:r w:rsidR="00664F8B" w:rsidRPr="008A6BFA">
        <w:rPr>
          <w:lang w:val="en-US"/>
        </w:rPr>
        <w:t xml:space="preserve"> In addition, the following</w:t>
      </w:r>
      <w:r w:rsidR="00F96885" w:rsidRPr="008A6BFA">
        <w:rPr>
          <w:lang w:val="en-US"/>
        </w:rPr>
        <w:t xml:space="preserve"> </w:t>
      </w:r>
      <w:r w:rsidR="00664F8B" w:rsidRPr="008A6BFA">
        <w:rPr>
          <w:lang w:val="en-US"/>
        </w:rPr>
        <w:t>agreement</w:t>
      </w:r>
      <w:r w:rsidR="00534646" w:rsidRPr="008A6BFA">
        <w:rPr>
          <w:lang w:val="en-US"/>
        </w:rPr>
        <w:t>s</w:t>
      </w:r>
      <w:r w:rsidR="00F96885" w:rsidRPr="008A6BFA">
        <w:rPr>
          <w:lang w:val="en-US"/>
        </w:rPr>
        <w:t xml:space="preserve"> </w:t>
      </w:r>
      <w:r w:rsidRPr="008A6BFA">
        <w:rPr>
          <w:lang w:val="en-US"/>
        </w:rPr>
        <w:t>w</w:t>
      </w:r>
      <w:r w:rsidR="00534646" w:rsidRPr="008A6BFA">
        <w:rPr>
          <w:lang w:val="en-US"/>
        </w:rPr>
        <w:t>ere</w:t>
      </w:r>
      <w:r w:rsidRPr="008A6BFA">
        <w:rPr>
          <w:lang w:val="en-US"/>
        </w:rPr>
        <w:t xml:space="preserve"> made related to CA in RAN1#8</w:t>
      </w:r>
      <w:r w:rsidR="00664F8B" w:rsidRPr="008A6BFA">
        <w:rPr>
          <w:lang w:val="en-US"/>
        </w:rPr>
        <w:t>8</w:t>
      </w:r>
      <w:r w:rsidRPr="008A6BFA">
        <w:rPr>
          <w:lang w:val="en-US"/>
        </w:rPr>
        <w:t>bis</w:t>
      </w:r>
      <w:r w:rsidR="00B601D3" w:rsidRPr="008A6BFA">
        <w:rPr>
          <w:lang w:val="en-US"/>
        </w:rPr>
        <w:t xml:space="preserve"> and no further agreements on CA/DC configuration has reached in RAN1#89.</w:t>
      </w:r>
      <w:r w:rsidR="009F2BEB" w:rsidRPr="008A6BFA">
        <w:rPr>
          <w:lang w:val="en-US"/>
        </w:rPr>
        <w:t xml:space="preserve"> </w:t>
      </w:r>
    </w:p>
    <w:p w14:paraId="4EBEC42A" w14:textId="0723BCF0" w:rsidR="002A2903" w:rsidRDefault="00664F8B" w:rsidP="003567E9">
      <w:r>
        <w:rPr>
          <w:noProof/>
          <w:lang w:eastAsia="fi-FI"/>
        </w:rPr>
        <w:drawing>
          <wp:inline distT="0" distB="0" distL="0" distR="0" wp14:anchorId="102FEE52" wp14:editId="7FBC13CC">
            <wp:extent cx="4792980" cy="478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7465" cy="492634"/>
                    </a:xfrm>
                    <a:prstGeom prst="rect">
                      <a:avLst/>
                    </a:prstGeom>
                    <a:noFill/>
                  </pic:spPr>
                </pic:pic>
              </a:graphicData>
            </a:graphic>
          </wp:inline>
        </w:drawing>
      </w:r>
    </w:p>
    <w:p w14:paraId="56D74346" w14:textId="01EDD675" w:rsidR="00241FCC" w:rsidRDefault="00241FCC" w:rsidP="003567E9">
      <w:r>
        <w:rPr>
          <w:noProof/>
          <w:lang w:eastAsia="fi-FI"/>
        </w:rPr>
        <w:drawing>
          <wp:inline distT="0" distB="0" distL="0" distR="0" wp14:anchorId="1C48F1D1" wp14:editId="4551AAD4">
            <wp:extent cx="6120765" cy="24032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403245"/>
                    </a:xfrm>
                    <a:prstGeom prst="rect">
                      <a:avLst/>
                    </a:prstGeom>
                    <a:noFill/>
                  </pic:spPr>
                </pic:pic>
              </a:graphicData>
            </a:graphic>
          </wp:inline>
        </w:drawing>
      </w:r>
    </w:p>
    <w:p w14:paraId="308B93E8" w14:textId="6DDC1DE6" w:rsidR="002A2903" w:rsidRPr="008A6BFA" w:rsidRDefault="002B49C4" w:rsidP="00F64FE7">
      <w:pPr>
        <w:rPr>
          <w:lang w:val="en-US"/>
        </w:rPr>
      </w:pPr>
      <w:r w:rsidRPr="008A6BFA">
        <w:rPr>
          <w:lang w:val="en-US"/>
        </w:rPr>
        <w:t xml:space="preserve">In this contribution, we discuss </w:t>
      </w:r>
      <w:r w:rsidR="00686AA1" w:rsidRPr="008A6BFA">
        <w:rPr>
          <w:lang w:val="en-US"/>
        </w:rPr>
        <w:t xml:space="preserve">in Section 2 </w:t>
      </w:r>
      <w:r w:rsidRPr="008A6BFA">
        <w:rPr>
          <w:lang w:val="en-US"/>
        </w:rPr>
        <w:t>configuration of DL and UL carriers</w:t>
      </w:r>
      <w:r w:rsidR="00137FAD" w:rsidRPr="008A6BFA">
        <w:rPr>
          <w:lang w:val="en-US"/>
        </w:rPr>
        <w:t>, TAGs and</w:t>
      </w:r>
      <w:r w:rsidR="00B601D3" w:rsidRPr="008A6BFA">
        <w:rPr>
          <w:lang w:val="en-US"/>
        </w:rPr>
        <w:t xml:space="preserve"> </w:t>
      </w:r>
      <w:r w:rsidRPr="008A6BFA">
        <w:rPr>
          <w:lang w:val="en-US"/>
        </w:rPr>
        <w:t>CA</w:t>
      </w:r>
      <w:r w:rsidR="00241FCC" w:rsidRPr="008A6BFA">
        <w:rPr>
          <w:lang w:val="en-US"/>
        </w:rPr>
        <w:t>/DC</w:t>
      </w:r>
      <w:r w:rsidR="00CB6E3B" w:rsidRPr="008A6BFA">
        <w:rPr>
          <w:lang w:val="en-US"/>
        </w:rPr>
        <w:t xml:space="preserve"> overall</w:t>
      </w:r>
      <w:r w:rsidR="00241FCC" w:rsidRPr="008A6BFA">
        <w:rPr>
          <w:lang w:val="en-US"/>
        </w:rPr>
        <w:t>.</w:t>
      </w:r>
      <w:r w:rsidR="00B601D3" w:rsidRPr="008A6BFA">
        <w:rPr>
          <w:lang w:val="en-US"/>
        </w:rPr>
        <w:t xml:space="preserve"> In addition, in Section 3 we focus on HARQ process sharing between </w:t>
      </w:r>
      <w:r w:rsidR="001D105C" w:rsidRPr="008A6BFA">
        <w:rPr>
          <w:lang w:val="en-US"/>
        </w:rPr>
        <w:t>component carriers (</w:t>
      </w:r>
      <w:r w:rsidR="00B601D3" w:rsidRPr="008A6BFA">
        <w:rPr>
          <w:lang w:val="en-US"/>
        </w:rPr>
        <w:t>C</w:t>
      </w:r>
      <w:r w:rsidR="001D105C" w:rsidRPr="008A6BFA">
        <w:rPr>
          <w:lang w:val="en-US"/>
        </w:rPr>
        <w:t>Cs)</w:t>
      </w:r>
      <w:r w:rsidR="00B601D3" w:rsidRPr="008A6BFA">
        <w:rPr>
          <w:lang w:val="en-US"/>
        </w:rPr>
        <w:t xml:space="preserve">. </w:t>
      </w:r>
      <w:r w:rsidRPr="008A6BFA">
        <w:rPr>
          <w:lang w:val="en-US"/>
        </w:rPr>
        <w:t xml:space="preserve"> </w:t>
      </w:r>
    </w:p>
    <w:p w14:paraId="75B60B69" w14:textId="72F16048" w:rsidR="00AA11F7" w:rsidRPr="00C23119" w:rsidRDefault="00753BEA" w:rsidP="00753BEA">
      <w:pPr>
        <w:pStyle w:val="Heading1"/>
      </w:pPr>
      <w:bookmarkStart w:id="3" w:name="OLE_LINK13"/>
      <w:bookmarkStart w:id="4" w:name="OLE_LINK14"/>
      <w:r>
        <w:t>2</w:t>
      </w:r>
      <w:r w:rsidR="00CA1F28">
        <w:t xml:space="preserve"> On c</w:t>
      </w:r>
      <w:r>
        <w:t xml:space="preserve">onfiguration of </w:t>
      </w:r>
      <w:r w:rsidR="00AF6CD6">
        <w:t xml:space="preserve">NR </w:t>
      </w:r>
      <w:r w:rsidR="00450716">
        <w:t>cell-groups</w:t>
      </w:r>
    </w:p>
    <w:p w14:paraId="68836737" w14:textId="0B42DC5C" w:rsidR="005B0C94" w:rsidRDefault="008A6BFA" w:rsidP="00B13D69">
      <w:pPr>
        <w:pStyle w:val="Caption"/>
        <w:jc w:val="both"/>
        <w:rPr>
          <w:b w:val="0"/>
          <w:lang w:val="en-US"/>
        </w:rPr>
      </w:pPr>
      <w:bookmarkStart w:id="5" w:name="_Ref473903385"/>
      <w:r>
        <w:rPr>
          <w:b w:val="0"/>
          <w:lang w:val="en-US"/>
        </w:rPr>
        <w:t>During the</w:t>
      </w:r>
      <w:r w:rsidR="00DB3638">
        <w:rPr>
          <w:b w:val="0"/>
          <w:lang w:val="en-US"/>
        </w:rPr>
        <w:t xml:space="preserve"> </w:t>
      </w:r>
      <w:r w:rsidR="004E45EA">
        <w:rPr>
          <w:b w:val="0"/>
          <w:lang w:val="en-US"/>
        </w:rPr>
        <w:t xml:space="preserve">NR </w:t>
      </w:r>
      <w:r w:rsidR="00154E83">
        <w:rPr>
          <w:b w:val="0"/>
          <w:lang w:val="en-US"/>
        </w:rPr>
        <w:t>study item</w:t>
      </w:r>
      <w:r w:rsidR="00CA6957">
        <w:rPr>
          <w:b w:val="0"/>
          <w:lang w:val="en-US"/>
        </w:rPr>
        <w:t xml:space="preserve"> </w:t>
      </w:r>
      <w:r w:rsidR="00CA6957">
        <w:rPr>
          <w:b w:val="0"/>
          <w:lang w:val="en-US"/>
        </w:rPr>
        <w:fldChar w:fldCharType="begin"/>
      </w:r>
      <w:r w:rsidR="00CA6957">
        <w:rPr>
          <w:b w:val="0"/>
          <w:lang w:val="en-US"/>
        </w:rPr>
        <w:instrText xml:space="preserve"> REF _Ref477708608 \r \h </w:instrText>
      </w:r>
      <w:r w:rsidR="00B13D69">
        <w:rPr>
          <w:b w:val="0"/>
          <w:lang w:val="en-US"/>
        </w:rPr>
        <w:instrText xml:space="preserve"> \* MERGEFORMAT </w:instrText>
      </w:r>
      <w:r w:rsidR="00CA6957">
        <w:rPr>
          <w:b w:val="0"/>
          <w:lang w:val="en-US"/>
        </w:rPr>
      </w:r>
      <w:r w:rsidR="00CA6957">
        <w:rPr>
          <w:b w:val="0"/>
          <w:lang w:val="en-US"/>
        </w:rPr>
        <w:fldChar w:fldCharType="separate"/>
      </w:r>
      <w:r w:rsidR="00CA6957">
        <w:rPr>
          <w:b w:val="0"/>
          <w:lang w:val="en-US"/>
        </w:rPr>
        <w:t>[2]</w:t>
      </w:r>
      <w:r w:rsidR="00CA6957">
        <w:rPr>
          <w:b w:val="0"/>
          <w:lang w:val="en-US"/>
        </w:rPr>
        <w:fldChar w:fldCharType="end"/>
      </w:r>
      <w:r w:rsidR="00450716">
        <w:rPr>
          <w:b w:val="0"/>
          <w:lang w:val="en-US"/>
        </w:rPr>
        <w:t>,</w:t>
      </w:r>
      <w:r w:rsidR="00753BEA" w:rsidRPr="007B1E79">
        <w:rPr>
          <w:b w:val="0"/>
          <w:lang w:val="en-US"/>
        </w:rPr>
        <w:t xml:space="preserve"> RAN1 agreed that the maximum number of NR </w:t>
      </w:r>
      <w:r w:rsidR="00CA6957">
        <w:rPr>
          <w:b w:val="0"/>
          <w:lang w:val="en-US"/>
        </w:rPr>
        <w:t>CCs</w:t>
      </w:r>
      <w:r w:rsidR="00753BEA" w:rsidRPr="007B1E79">
        <w:rPr>
          <w:b w:val="0"/>
          <w:lang w:val="en-US"/>
        </w:rPr>
        <w:t xml:space="preserve"> for CA and DC is </w:t>
      </w:r>
      <w:r w:rsidR="00753BEA" w:rsidRPr="006939DF">
        <w:rPr>
          <w:lang w:val="en-US"/>
        </w:rPr>
        <w:t>16</w:t>
      </w:r>
      <w:r w:rsidR="00150235" w:rsidRPr="007B1E79">
        <w:rPr>
          <w:b w:val="0"/>
          <w:lang w:val="en-US"/>
        </w:rPr>
        <w:t>, a</w:t>
      </w:r>
      <w:r w:rsidR="00753BEA" w:rsidRPr="007B1E79">
        <w:rPr>
          <w:b w:val="0"/>
          <w:lang w:val="en-US"/>
        </w:rPr>
        <w:t>nd</w:t>
      </w:r>
      <w:r w:rsidR="00150235" w:rsidRPr="007B1E79">
        <w:rPr>
          <w:b w:val="0"/>
          <w:lang w:val="en-US"/>
        </w:rPr>
        <w:t xml:space="preserve"> that</w:t>
      </w:r>
      <w:r w:rsidR="00753BEA" w:rsidRPr="007B1E79">
        <w:rPr>
          <w:b w:val="0"/>
          <w:lang w:val="en-US"/>
        </w:rPr>
        <w:t xml:space="preserve"> the number </w:t>
      </w:r>
      <w:r w:rsidR="00EF2586">
        <w:rPr>
          <w:b w:val="0"/>
          <w:lang w:val="en-US"/>
        </w:rPr>
        <w:t xml:space="preserve">of </w:t>
      </w:r>
      <w:r w:rsidR="00753BEA" w:rsidRPr="007B1E79">
        <w:rPr>
          <w:b w:val="0"/>
          <w:lang w:val="en-US"/>
        </w:rPr>
        <w:t>NR CCs in any aggregation is independently configured</w:t>
      </w:r>
      <w:r w:rsidR="007E7BBD">
        <w:rPr>
          <w:b w:val="0"/>
          <w:lang w:val="en-US"/>
        </w:rPr>
        <w:t xml:space="preserve"> for UL and DL</w:t>
      </w:r>
      <w:r w:rsidR="00753BEA" w:rsidRPr="007B1E79">
        <w:rPr>
          <w:b w:val="0"/>
          <w:lang w:val="en-US"/>
        </w:rPr>
        <w:t xml:space="preserve"> to a UE. </w:t>
      </w:r>
      <w:bookmarkEnd w:id="5"/>
      <w:r w:rsidR="00E10F0B">
        <w:rPr>
          <w:b w:val="0"/>
          <w:lang w:val="en-US"/>
        </w:rPr>
        <w:t>W</w:t>
      </w:r>
      <w:r w:rsidR="00450716">
        <w:rPr>
          <w:b w:val="0"/>
          <w:lang w:val="en-US"/>
        </w:rPr>
        <w:t xml:space="preserve">e propose that these 16 NR </w:t>
      </w:r>
      <w:r w:rsidR="001D105C">
        <w:rPr>
          <w:b w:val="0"/>
          <w:lang w:val="en-US"/>
        </w:rPr>
        <w:t>CC</w:t>
      </w:r>
      <w:r w:rsidR="00450716">
        <w:rPr>
          <w:b w:val="0"/>
          <w:lang w:val="en-US"/>
        </w:rPr>
        <w:t>s, similarly to LTE, can be split into cell-groups</w:t>
      </w:r>
      <w:r w:rsidR="00A720E2">
        <w:rPr>
          <w:b w:val="0"/>
          <w:lang w:val="en-US"/>
        </w:rPr>
        <w:t xml:space="preserve"> (CGs)</w:t>
      </w:r>
      <w:r w:rsidR="00450716">
        <w:rPr>
          <w:b w:val="0"/>
          <w:lang w:val="en-US"/>
        </w:rPr>
        <w:t>.</w:t>
      </w:r>
    </w:p>
    <w:p w14:paraId="729BCC23" w14:textId="079D09F7" w:rsidR="002243D8" w:rsidRPr="008A6BFA" w:rsidRDefault="00450716" w:rsidP="00450716">
      <w:pPr>
        <w:jc w:val="both"/>
        <w:rPr>
          <w:lang w:val="en-US"/>
        </w:rPr>
      </w:pPr>
      <w:r w:rsidRPr="008A6BFA">
        <w:rPr>
          <w:lang w:val="en-US"/>
        </w:rPr>
        <w:t>An NR cell-group</w:t>
      </w:r>
      <w:r w:rsidR="00CA1F28" w:rsidRPr="008A6BFA">
        <w:rPr>
          <w:lang w:val="en-US"/>
        </w:rPr>
        <w:t xml:space="preserve"> </w:t>
      </w:r>
      <w:r w:rsidRPr="008A6BFA">
        <w:rPr>
          <w:lang w:val="en-US"/>
        </w:rPr>
        <w:t>would consist of</w:t>
      </w:r>
      <w:r w:rsidR="00CA1F28" w:rsidRPr="008A6BFA">
        <w:rPr>
          <w:lang w:val="en-US"/>
        </w:rPr>
        <w:t>:</w:t>
      </w:r>
      <w:r w:rsidRPr="008A6BFA">
        <w:rPr>
          <w:lang w:val="en-US"/>
        </w:rPr>
        <w:t xml:space="preserve"> </w:t>
      </w:r>
    </w:p>
    <w:p w14:paraId="7A2BC345" w14:textId="243726B0" w:rsidR="002243D8" w:rsidRPr="008A6BFA" w:rsidRDefault="00450716" w:rsidP="002243D8">
      <w:pPr>
        <w:pStyle w:val="ListParagraph"/>
        <w:numPr>
          <w:ilvl w:val="0"/>
          <w:numId w:val="37"/>
        </w:numPr>
        <w:jc w:val="both"/>
        <w:rPr>
          <w:lang w:val="en-US"/>
        </w:rPr>
      </w:pPr>
      <w:r w:rsidRPr="008A6BFA">
        <w:rPr>
          <w:lang w:val="en-US"/>
        </w:rPr>
        <w:t xml:space="preserve">one or more UL CCs carrying PUSCH from which one UL CC </w:t>
      </w:r>
      <w:r w:rsidR="00AF6CD6" w:rsidRPr="008A6BFA">
        <w:rPr>
          <w:lang w:val="en-US"/>
        </w:rPr>
        <w:t>carries</w:t>
      </w:r>
      <w:r w:rsidRPr="008A6BFA">
        <w:rPr>
          <w:lang w:val="en-US"/>
        </w:rPr>
        <w:t xml:space="preserve"> PUCCH, and </w:t>
      </w:r>
    </w:p>
    <w:p w14:paraId="21956167" w14:textId="77777777" w:rsidR="002243D8" w:rsidRPr="008A6BFA" w:rsidRDefault="00450716" w:rsidP="002243D8">
      <w:pPr>
        <w:pStyle w:val="ListParagraph"/>
        <w:numPr>
          <w:ilvl w:val="0"/>
          <w:numId w:val="37"/>
        </w:numPr>
        <w:jc w:val="both"/>
        <w:rPr>
          <w:lang w:val="en-US"/>
        </w:rPr>
      </w:pPr>
      <w:r w:rsidRPr="008A6BFA">
        <w:rPr>
          <w:lang w:val="en-US"/>
        </w:rPr>
        <w:t xml:space="preserve">one or more DL CC. </w:t>
      </w:r>
    </w:p>
    <w:p w14:paraId="160A5DA5" w14:textId="4993E40E" w:rsidR="002243D8" w:rsidRPr="008A6BFA" w:rsidRDefault="006939DF" w:rsidP="002243D8">
      <w:pPr>
        <w:jc w:val="both"/>
        <w:rPr>
          <w:lang w:val="en-US"/>
        </w:rPr>
      </w:pPr>
      <w:r w:rsidRPr="008A6BFA">
        <w:rPr>
          <w:lang w:val="en-US"/>
        </w:rPr>
        <w:t>From flexibility point of view it would be beneficial if</w:t>
      </w:r>
      <w:r w:rsidR="00CA1F28" w:rsidRPr="008A6BFA">
        <w:rPr>
          <w:lang w:val="en-US"/>
        </w:rPr>
        <w:t xml:space="preserve"> a</w:t>
      </w:r>
      <w:r w:rsidR="00450716" w:rsidRPr="008A6BFA">
        <w:rPr>
          <w:lang w:val="en-US"/>
        </w:rPr>
        <w:t xml:space="preserve"> gNB </w:t>
      </w:r>
      <w:r w:rsidRPr="008A6BFA">
        <w:rPr>
          <w:lang w:val="en-US"/>
        </w:rPr>
        <w:t>c</w:t>
      </w:r>
      <w:r w:rsidR="00450716" w:rsidRPr="008A6BFA">
        <w:rPr>
          <w:lang w:val="en-US"/>
        </w:rPr>
        <w:t>ould configure</w:t>
      </w:r>
      <w:r w:rsidR="00CA1F28" w:rsidRPr="008A6BFA">
        <w:rPr>
          <w:lang w:val="en-US"/>
        </w:rPr>
        <w:t xml:space="preserve"> to a UE</w:t>
      </w:r>
      <w:r w:rsidR="00450716" w:rsidRPr="008A6BFA">
        <w:rPr>
          <w:lang w:val="en-US"/>
        </w:rPr>
        <w:t xml:space="preserve"> as many NR </w:t>
      </w:r>
      <w:r w:rsidR="00CA1F28" w:rsidRPr="008A6BFA">
        <w:rPr>
          <w:lang w:val="en-US"/>
        </w:rPr>
        <w:t>CGs</w:t>
      </w:r>
      <w:r w:rsidR="00450716" w:rsidRPr="008A6BFA">
        <w:rPr>
          <w:lang w:val="en-US"/>
        </w:rPr>
        <w:t xml:space="preserve"> as there are UL CCs supported by a UE, i.e. based on the UE capability. </w:t>
      </w:r>
      <w:r w:rsidR="002243D8" w:rsidRPr="008A6BFA">
        <w:rPr>
          <w:lang w:val="en-US"/>
        </w:rPr>
        <w:t xml:space="preserve">On the other hand, with every configured </w:t>
      </w:r>
      <w:r w:rsidR="00CA1F28" w:rsidRPr="008A6BFA">
        <w:rPr>
          <w:lang w:val="en-US"/>
        </w:rPr>
        <w:t>CG</w:t>
      </w:r>
      <w:r w:rsidR="002243D8" w:rsidRPr="008A6BFA">
        <w:rPr>
          <w:lang w:val="en-US"/>
        </w:rPr>
        <w:t xml:space="preserve">, the </w:t>
      </w:r>
      <w:r w:rsidRPr="008A6BFA">
        <w:rPr>
          <w:lang w:val="en-US"/>
        </w:rPr>
        <w:t>available</w:t>
      </w:r>
      <w:r w:rsidR="002243D8" w:rsidRPr="008A6BFA">
        <w:rPr>
          <w:lang w:val="en-US"/>
        </w:rPr>
        <w:t xml:space="preserve"> </w:t>
      </w:r>
      <w:r w:rsidR="00A720E2" w:rsidRPr="008A6BFA">
        <w:rPr>
          <w:lang w:val="en-US"/>
        </w:rPr>
        <w:t xml:space="preserve">UE TX </w:t>
      </w:r>
      <w:r w:rsidR="002243D8" w:rsidRPr="008A6BFA">
        <w:rPr>
          <w:lang w:val="en-US"/>
        </w:rPr>
        <w:t xml:space="preserve">power per </w:t>
      </w:r>
      <w:r w:rsidRPr="008A6BFA">
        <w:rPr>
          <w:lang w:val="en-US"/>
        </w:rPr>
        <w:t xml:space="preserve">CG </w:t>
      </w:r>
      <w:r w:rsidR="002243D8" w:rsidRPr="008A6BFA">
        <w:rPr>
          <w:lang w:val="en-US"/>
        </w:rPr>
        <w:t xml:space="preserve">decreases, and </w:t>
      </w:r>
      <w:r w:rsidRPr="008A6BFA">
        <w:rPr>
          <w:lang w:val="en-US"/>
        </w:rPr>
        <w:t>an issue</w:t>
      </w:r>
      <w:r w:rsidR="002243D8" w:rsidRPr="008A6BFA">
        <w:rPr>
          <w:lang w:val="en-US"/>
        </w:rPr>
        <w:t xml:space="preserve"> </w:t>
      </w:r>
      <w:r w:rsidR="00A720E2" w:rsidRPr="008A6BFA">
        <w:rPr>
          <w:lang w:val="en-US"/>
        </w:rPr>
        <w:t xml:space="preserve">arises on </w:t>
      </w:r>
      <w:r w:rsidR="002243D8" w:rsidRPr="008A6BFA">
        <w:rPr>
          <w:lang w:val="en-US"/>
        </w:rPr>
        <w:t xml:space="preserve">how to share the available </w:t>
      </w:r>
      <w:r w:rsidR="00A720E2" w:rsidRPr="008A6BFA">
        <w:rPr>
          <w:lang w:val="en-US"/>
        </w:rPr>
        <w:t xml:space="preserve">UE TX </w:t>
      </w:r>
      <w:r w:rsidR="002243D8" w:rsidRPr="008A6BFA">
        <w:rPr>
          <w:lang w:val="en-US"/>
        </w:rPr>
        <w:t xml:space="preserve">power between CGs. </w:t>
      </w:r>
      <w:r w:rsidR="00A720E2" w:rsidRPr="008A6BFA">
        <w:rPr>
          <w:lang w:val="en-US"/>
        </w:rPr>
        <w:t>A</w:t>
      </w:r>
      <w:r w:rsidR="002243D8" w:rsidRPr="008A6BFA">
        <w:rPr>
          <w:lang w:val="en-US"/>
        </w:rPr>
        <w:t>t least two</w:t>
      </w:r>
      <w:r w:rsidR="00A720E2" w:rsidRPr="008A6BFA">
        <w:rPr>
          <w:lang w:val="en-US"/>
        </w:rPr>
        <w:t xml:space="preserve"> </w:t>
      </w:r>
      <w:r w:rsidR="002243D8" w:rsidRPr="008A6BFA">
        <w:rPr>
          <w:lang w:val="en-US"/>
        </w:rPr>
        <w:t>cell</w:t>
      </w:r>
      <w:r w:rsidR="00A720E2" w:rsidRPr="008A6BFA">
        <w:rPr>
          <w:lang w:val="en-US"/>
        </w:rPr>
        <w:t>-</w:t>
      </w:r>
      <w:r w:rsidR="002243D8" w:rsidRPr="008A6BFA">
        <w:rPr>
          <w:lang w:val="en-US"/>
        </w:rPr>
        <w:t xml:space="preserve">groups </w:t>
      </w:r>
      <w:r w:rsidR="00CA1F28" w:rsidRPr="008A6BFA">
        <w:rPr>
          <w:lang w:val="en-US"/>
        </w:rPr>
        <w:t>should be</w:t>
      </w:r>
      <w:r w:rsidR="002243D8" w:rsidRPr="008A6BFA">
        <w:rPr>
          <w:lang w:val="en-US"/>
        </w:rPr>
        <w:t xml:space="preserve"> supported </w:t>
      </w:r>
      <w:r w:rsidRPr="008A6BFA">
        <w:rPr>
          <w:lang w:val="en-US"/>
        </w:rPr>
        <w:t xml:space="preserve">to </w:t>
      </w:r>
      <w:r w:rsidR="00CA1F28" w:rsidRPr="008A6BFA">
        <w:rPr>
          <w:lang w:val="en-US"/>
        </w:rPr>
        <w:t>enable</w:t>
      </w:r>
      <w:r w:rsidR="002243D8" w:rsidRPr="008A6BFA">
        <w:rPr>
          <w:lang w:val="en-US"/>
        </w:rPr>
        <w:t xml:space="preserve"> DC, and NR should further study the feasibility of configuring more than two cell</w:t>
      </w:r>
      <w:r w:rsidR="00A720E2" w:rsidRPr="008A6BFA">
        <w:rPr>
          <w:lang w:val="en-US"/>
        </w:rPr>
        <w:t>-</w:t>
      </w:r>
      <w:r w:rsidR="002243D8" w:rsidRPr="008A6BFA">
        <w:rPr>
          <w:lang w:val="en-US"/>
        </w:rPr>
        <w:t xml:space="preserve">groups. </w:t>
      </w:r>
    </w:p>
    <w:p w14:paraId="61640DDD" w14:textId="288EE79C" w:rsidR="002243D8" w:rsidRPr="008A6BFA" w:rsidRDefault="002243D8" w:rsidP="002243D8">
      <w:pPr>
        <w:jc w:val="both"/>
        <w:rPr>
          <w:b/>
          <w:lang w:val="en-US"/>
        </w:rPr>
      </w:pPr>
      <w:r w:rsidRPr="008A6BFA">
        <w:rPr>
          <w:b/>
          <w:lang w:val="en-US"/>
        </w:rPr>
        <w:lastRenderedPageBreak/>
        <w:t>Proposal</w:t>
      </w:r>
      <w:r w:rsidR="00A46845" w:rsidRPr="008A6BFA">
        <w:rPr>
          <w:b/>
          <w:lang w:val="en-US"/>
        </w:rPr>
        <w:t>-1</w:t>
      </w:r>
      <w:r w:rsidR="004D04BC" w:rsidRPr="008A6BFA">
        <w:rPr>
          <w:b/>
          <w:lang w:val="en-US"/>
        </w:rPr>
        <w:t xml:space="preserve">: Support at least two cell-groups per UE to enable dual connectivity. Further study the feasibility of supporting more than two cell-groups per UE. </w:t>
      </w:r>
    </w:p>
    <w:p w14:paraId="1FF5D14C" w14:textId="5E5A380A" w:rsidR="001C4AB6" w:rsidRPr="008A6BFA" w:rsidRDefault="00995C42" w:rsidP="002243D8">
      <w:pPr>
        <w:jc w:val="both"/>
        <w:rPr>
          <w:lang w:val="en-US"/>
        </w:rPr>
      </w:pPr>
      <w:r w:rsidRPr="008A6BFA">
        <w:rPr>
          <w:lang w:val="en-US"/>
        </w:rPr>
        <w:t>Each cell-group</w:t>
      </w:r>
      <w:r w:rsidR="00A46845" w:rsidRPr="008A6BFA">
        <w:rPr>
          <w:lang w:val="en-US"/>
        </w:rPr>
        <w:t xml:space="preserve"> should</w:t>
      </w:r>
      <w:r w:rsidRPr="008A6BFA">
        <w:rPr>
          <w:lang w:val="en-US"/>
        </w:rPr>
        <w:t xml:space="preserve"> </w:t>
      </w:r>
      <w:r w:rsidR="00A46845" w:rsidRPr="008A6BFA">
        <w:rPr>
          <w:lang w:val="en-US"/>
        </w:rPr>
        <w:t>comprise</w:t>
      </w:r>
      <w:r w:rsidR="00CA1F28" w:rsidRPr="008A6BFA">
        <w:rPr>
          <w:lang w:val="en-US"/>
        </w:rPr>
        <w:t xml:space="preserve"> of</w:t>
      </w:r>
      <w:r w:rsidR="00A94500" w:rsidRPr="008A6BFA">
        <w:rPr>
          <w:lang w:val="en-US"/>
        </w:rPr>
        <w:t xml:space="preserve"> DL and UL </w:t>
      </w:r>
      <w:r w:rsidR="00CA1F28" w:rsidRPr="008A6BFA">
        <w:rPr>
          <w:lang w:val="en-US"/>
        </w:rPr>
        <w:t xml:space="preserve">primary </w:t>
      </w:r>
      <w:r w:rsidR="00A94500" w:rsidRPr="008A6BFA">
        <w:rPr>
          <w:lang w:val="en-US"/>
        </w:rPr>
        <w:t>CC</w:t>
      </w:r>
      <w:r w:rsidR="00CA1F28" w:rsidRPr="008A6BFA">
        <w:rPr>
          <w:lang w:val="en-US"/>
        </w:rPr>
        <w:t xml:space="preserve"> (PCC)</w:t>
      </w:r>
      <w:r w:rsidR="00A94500" w:rsidRPr="008A6BFA">
        <w:rPr>
          <w:lang w:val="en-US"/>
        </w:rPr>
        <w:t>, where RRC connection is maintained and PUCCH</w:t>
      </w:r>
      <w:r w:rsidR="00EA6F0D" w:rsidRPr="008A6BFA">
        <w:rPr>
          <w:lang w:val="en-US"/>
        </w:rPr>
        <w:t xml:space="preserve"> </w:t>
      </w:r>
      <w:r w:rsidR="00A94500" w:rsidRPr="008A6BFA">
        <w:rPr>
          <w:lang w:val="en-US"/>
        </w:rPr>
        <w:t>is transmitted. These primary CCs should be preferably on low frequency, where coverage can be maintained.</w:t>
      </w:r>
      <w:r w:rsidR="00EA6F0D" w:rsidRPr="008A6BFA">
        <w:rPr>
          <w:lang w:val="en-US"/>
        </w:rPr>
        <w:t xml:space="preserve"> </w:t>
      </w:r>
      <w:r w:rsidR="00CA1F28" w:rsidRPr="008A6BFA">
        <w:rPr>
          <w:lang w:val="en-US"/>
        </w:rPr>
        <w:t>Furthermore</w:t>
      </w:r>
      <w:r w:rsidR="00EA6F0D" w:rsidRPr="008A6BFA">
        <w:rPr>
          <w:lang w:val="en-US"/>
        </w:rPr>
        <w:t xml:space="preserve">, we </w:t>
      </w:r>
      <w:r w:rsidR="00CA1F28" w:rsidRPr="008A6BFA">
        <w:rPr>
          <w:lang w:val="en-US"/>
        </w:rPr>
        <w:t>think that no</w:t>
      </w:r>
      <w:r w:rsidR="006939DF" w:rsidRPr="008A6BFA">
        <w:rPr>
          <w:lang w:val="en-US"/>
        </w:rPr>
        <w:t xml:space="preserve"> </w:t>
      </w:r>
      <w:r w:rsidR="00EA6F0D" w:rsidRPr="008A6BFA">
        <w:rPr>
          <w:lang w:val="en-US"/>
        </w:rPr>
        <w:t>restriction</w:t>
      </w:r>
      <w:r w:rsidR="006939DF" w:rsidRPr="008A6BFA">
        <w:rPr>
          <w:lang w:val="en-US"/>
        </w:rPr>
        <w:t>s</w:t>
      </w:r>
      <w:r w:rsidR="00EA6F0D" w:rsidRPr="008A6BFA">
        <w:rPr>
          <w:lang w:val="en-US"/>
        </w:rPr>
        <w:t xml:space="preserve"> </w:t>
      </w:r>
      <w:r w:rsidR="00A720E2" w:rsidRPr="008A6BFA">
        <w:rPr>
          <w:lang w:val="en-US"/>
        </w:rPr>
        <w:t xml:space="preserve">should be introduced </w:t>
      </w:r>
      <w:r w:rsidR="00EA6F0D" w:rsidRPr="008A6BFA">
        <w:rPr>
          <w:lang w:val="en-US"/>
        </w:rPr>
        <w:t xml:space="preserve">on which numerology </w:t>
      </w:r>
      <w:r w:rsidR="00A720E2" w:rsidRPr="008A6BFA">
        <w:rPr>
          <w:lang w:val="en-US"/>
        </w:rPr>
        <w:t xml:space="preserve">applies for </w:t>
      </w:r>
      <w:r w:rsidR="00EA6F0D" w:rsidRPr="008A6BFA">
        <w:rPr>
          <w:lang w:val="en-US"/>
        </w:rPr>
        <w:t>PUCCH.</w:t>
      </w:r>
      <w:r w:rsidR="009819E6" w:rsidRPr="008A6BFA">
        <w:rPr>
          <w:lang w:val="en-US"/>
        </w:rPr>
        <w:t xml:space="preserve"> </w:t>
      </w:r>
      <w:r w:rsidR="00A94500" w:rsidRPr="008A6BFA">
        <w:rPr>
          <w:lang w:val="en-US"/>
        </w:rPr>
        <w:t xml:space="preserve">In NR, the primary CCs could be semi-statically </w:t>
      </w:r>
      <w:r w:rsidR="00EA6F0D" w:rsidRPr="008A6BFA">
        <w:rPr>
          <w:lang w:val="en-US"/>
        </w:rPr>
        <w:t>changed</w:t>
      </w:r>
      <w:r w:rsidR="00A94500" w:rsidRPr="008A6BFA">
        <w:rPr>
          <w:lang w:val="en-US"/>
        </w:rPr>
        <w:t xml:space="preserve"> by the </w:t>
      </w:r>
      <w:r w:rsidR="007E6782">
        <w:rPr>
          <w:lang w:val="en-US"/>
        </w:rPr>
        <w:t>g</w:t>
      </w:r>
      <w:r w:rsidR="00A94500" w:rsidRPr="008A6BFA">
        <w:rPr>
          <w:lang w:val="en-US"/>
        </w:rPr>
        <w:t>NB</w:t>
      </w:r>
      <w:r w:rsidR="006939DF" w:rsidRPr="008A6BFA">
        <w:rPr>
          <w:lang w:val="en-US"/>
        </w:rPr>
        <w:t xml:space="preserve"> (e.g. DL SCC -&gt; DL PCC and vice versa)</w:t>
      </w:r>
      <w:r w:rsidR="00A94500" w:rsidRPr="008A6BFA">
        <w:rPr>
          <w:lang w:val="en-US"/>
        </w:rPr>
        <w:t xml:space="preserve">, which would be </w:t>
      </w:r>
      <w:r w:rsidR="00A46845" w:rsidRPr="008A6BFA">
        <w:rPr>
          <w:lang w:val="en-US"/>
        </w:rPr>
        <w:t>a form of “intra CG handover”</w:t>
      </w:r>
      <w:r w:rsidR="00922ED7" w:rsidRPr="008A6BFA">
        <w:rPr>
          <w:lang w:val="en-US"/>
        </w:rPr>
        <w:t xml:space="preserve">. </w:t>
      </w:r>
      <w:r w:rsidR="00EA6F0D" w:rsidRPr="008A6BFA">
        <w:rPr>
          <w:lang w:val="en-US"/>
        </w:rPr>
        <w:t xml:space="preserve">In addition, the DL PCC </w:t>
      </w:r>
      <w:r w:rsidR="006939DF" w:rsidRPr="008A6BFA">
        <w:rPr>
          <w:lang w:val="en-US"/>
        </w:rPr>
        <w:t>should be</w:t>
      </w:r>
      <w:r w:rsidR="00EA6F0D" w:rsidRPr="008A6BFA">
        <w:rPr>
          <w:lang w:val="en-US"/>
        </w:rPr>
        <w:t xml:space="preserve"> always self-scheduled.</w:t>
      </w:r>
    </w:p>
    <w:p w14:paraId="75C79150" w14:textId="099864C8" w:rsidR="001D105C" w:rsidRPr="008A6BFA" w:rsidRDefault="00922ED7" w:rsidP="002243D8">
      <w:pPr>
        <w:jc w:val="both"/>
        <w:rPr>
          <w:b/>
          <w:lang w:val="en-US"/>
        </w:rPr>
      </w:pPr>
      <w:r w:rsidRPr="008A6BFA">
        <w:rPr>
          <w:b/>
          <w:lang w:val="en-US"/>
        </w:rPr>
        <w:t>Proposal</w:t>
      </w:r>
      <w:r w:rsidR="00A46845" w:rsidRPr="008A6BFA">
        <w:rPr>
          <w:b/>
          <w:lang w:val="en-US"/>
        </w:rPr>
        <w:t>-2</w:t>
      </w:r>
      <w:r w:rsidRPr="008A6BFA">
        <w:rPr>
          <w:b/>
          <w:lang w:val="en-US"/>
        </w:rPr>
        <w:t xml:space="preserve">: </w:t>
      </w:r>
      <w:r w:rsidR="001D105C" w:rsidRPr="008A6BFA">
        <w:rPr>
          <w:b/>
          <w:lang w:val="en-US"/>
        </w:rPr>
        <w:t>In NR, a p</w:t>
      </w:r>
      <w:r w:rsidRPr="008A6BFA">
        <w:rPr>
          <w:b/>
          <w:lang w:val="en-US"/>
        </w:rPr>
        <w:t>rimary</w:t>
      </w:r>
      <w:r w:rsidR="00AF6CD6" w:rsidRPr="008A6BFA">
        <w:rPr>
          <w:b/>
          <w:lang w:val="en-US"/>
        </w:rPr>
        <w:t xml:space="preserve"> cell</w:t>
      </w:r>
      <w:r w:rsidR="001D105C" w:rsidRPr="008A6BFA">
        <w:rPr>
          <w:b/>
          <w:lang w:val="en-US"/>
        </w:rPr>
        <w:t>:</w:t>
      </w:r>
    </w:p>
    <w:p w14:paraId="0CF0C068" w14:textId="1426DC86" w:rsidR="001D105C" w:rsidRPr="008A6BFA" w:rsidRDefault="00AF6CD6" w:rsidP="001D105C">
      <w:pPr>
        <w:pStyle w:val="ListParagraph"/>
        <w:numPr>
          <w:ilvl w:val="0"/>
          <w:numId w:val="38"/>
        </w:numPr>
        <w:jc w:val="both"/>
        <w:rPr>
          <w:lang w:val="en-US"/>
        </w:rPr>
      </w:pPr>
      <w:r w:rsidRPr="008A6BFA">
        <w:rPr>
          <w:b/>
          <w:lang w:val="en-US"/>
        </w:rPr>
        <w:t>consists of</w:t>
      </w:r>
      <w:r w:rsidR="00922ED7" w:rsidRPr="008A6BFA">
        <w:rPr>
          <w:b/>
          <w:lang w:val="en-US"/>
        </w:rPr>
        <w:t xml:space="preserve"> UL </w:t>
      </w:r>
      <w:r w:rsidR="009819E6" w:rsidRPr="008A6BFA">
        <w:rPr>
          <w:b/>
          <w:lang w:val="en-US"/>
        </w:rPr>
        <w:t>CC and DL CC</w:t>
      </w:r>
      <w:r w:rsidRPr="008A6BFA">
        <w:rPr>
          <w:b/>
          <w:lang w:val="en-US"/>
        </w:rPr>
        <w:t xml:space="preserve"> that</w:t>
      </w:r>
      <w:r w:rsidR="00922ED7" w:rsidRPr="008A6BFA">
        <w:rPr>
          <w:b/>
          <w:lang w:val="en-US"/>
        </w:rPr>
        <w:t xml:space="preserve"> carry the RRC connection</w:t>
      </w:r>
      <w:r w:rsidRPr="008A6BFA">
        <w:rPr>
          <w:b/>
          <w:lang w:val="en-US"/>
        </w:rPr>
        <w:t>,</w:t>
      </w:r>
      <w:r w:rsidR="00922ED7" w:rsidRPr="008A6BFA">
        <w:rPr>
          <w:b/>
          <w:lang w:val="en-US"/>
        </w:rPr>
        <w:t xml:space="preserve"> </w:t>
      </w:r>
      <w:r w:rsidR="00D82B16" w:rsidRPr="008A6BFA">
        <w:rPr>
          <w:b/>
          <w:lang w:val="en-US"/>
        </w:rPr>
        <w:t>UCI and common search space</w:t>
      </w:r>
      <w:r w:rsidRPr="008A6BFA">
        <w:rPr>
          <w:b/>
          <w:lang w:val="en-US"/>
        </w:rPr>
        <w:t>.</w:t>
      </w:r>
    </w:p>
    <w:p w14:paraId="09F8811D" w14:textId="4084F263" w:rsidR="001C4AB6" w:rsidRPr="008A6BFA" w:rsidRDefault="00EA6F0D" w:rsidP="001D105C">
      <w:pPr>
        <w:pStyle w:val="ListParagraph"/>
        <w:numPr>
          <w:ilvl w:val="0"/>
          <w:numId w:val="38"/>
        </w:numPr>
        <w:jc w:val="both"/>
        <w:rPr>
          <w:lang w:val="en-US"/>
        </w:rPr>
      </w:pPr>
      <w:r w:rsidRPr="008A6BFA">
        <w:rPr>
          <w:b/>
          <w:lang w:val="en-US"/>
        </w:rPr>
        <w:t xml:space="preserve">DL </w:t>
      </w:r>
      <w:r w:rsidR="001D105C" w:rsidRPr="008A6BFA">
        <w:rPr>
          <w:b/>
          <w:lang w:val="en-US"/>
        </w:rPr>
        <w:t>P</w:t>
      </w:r>
      <w:r w:rsidRPr="008A6BFA">
        <w:rPr>
          <w:b/>
          <w:lang w:val="en-US"/>
        </w:rPr>
        <w:t>CC is always self-scheduled.</w:t>
      </w:r>
    </w:p>
    <w:p w14:paraId="4753A15F" w14:textId="785311D3" w:rsidR="00A26F58" w:rsidRPr="008A6BFA" w:rsidRDefault="00A26F58" w:rsidP="001E399D">
      <w:pPr>
        <w:pStyle w:val="ListParagraph"/>
        <w:numPr>
          <w:ilvl w:val="0"/>
          <w:numId w:val="38"/>
        </w:numPr>
        <w:jc w:val="both"/>
        <w:rPr>
          <w:lang w:val="en-US"/>
        </w:rPr>
      </w:pPr>
      <w:r w:rsidRPr="008A6BFA">
        <w:rPr>
          <w:b/>
          <w:lang w:val="en-US"/>
        </w:rPr>
        <w:t>FFS: UL and</w:t>
      </w:r>
      <w:r w:rsidR="00A46845" w:rsidRPr="008A6BFA">
        <w:rPr>
          <w:b/>
          <w:lang w:val="en-US"/>
        </w:rPr>
        <w:t>/or</w:t>
      </w:r>
      <w:r w:rsidRPr="008A6BFA">
        <w:rPr>
          <w:b/>
          <w:lang w:val="en-US"/>
        </w:rPr>
        <w:t xml:space="preserve"> DL PCC can be semi-statically changed between CCs of a cell-group. </w:t>
      </w:r>
    </w:p>
    <w:p w14:paraId="42F260C6" w14:textId="7562485D" w:rsidR="00EA6F0D" w:rsidRPr="00F166FD" w:rsidRDefault="0044759B" w:rsidP="002243D8">
      <w:pPr>
        <w:jc w:val="both"/>
        <w:rPr>
          <w:lang w:val="en-US"/>
        </w:rPr>
      </w:pPr>
      <w:r w:rsidRPr="008A6BFA">
        <w:rPr>
          <w:lang w:val="en-US"/>
        </w:rPr>
        <w:t>In addition to PCC</w:t>
      </w:r>
      <w:r w:rsidR="00A720E2" w:rsidRPr="008A6BFA">
        <w:rPr>
          <w:lang w:val="en-US"/>
        </w:rPr>
        <w:t>,</w:t>
      </w:r>
      <w:r w:rsidRPr="008A6BFA">
        <w:rPr>
          <w:lang w:val="en-US"/>
        </w:rPr>
        <w:t xml:space="preserve"> </w:t>
      </w:r>
      <w:r w:rsidR="00EA6F0D" w:rsidRPr="008A6BFA">
        <w:rPr>
          <w:lang w:val="en-US"/>
        </w:rPr>
        <w:t xml:space="preserve">secondary </w:t>
      </w:r>
      <w:r w:rsidRPr="008A6BFA">
        <w:rPr>
          <w:lang w:val="en-US"/>
        </w:rPr>
        <w:t>CCs (SCC)</w:t>
      </w:r>
      <w:r w:rsidR="00EA6F0D" w:rsidRPr="008A6BFA">
        <w:rPr>
          <w:lang w:val="en-US"/>
        </w:rPr>
        <w:t xml:space="preserve"> can be configured freely and </w:t>
      </w:r>
      <w:r w:rsidR="00AF6CD6" w:rsidRPr="008A6BFA">
        <w:rPr>
          <w:lang w:val="en-US"/>
        </w:rPr>
        <w:t xml:space="preserve">can be UL-only, </w:t>
      </w:r>
      <w:r w:rsidR="00EA6F0D" w:rsidRPr="008A6BFA">
        <w:rPr>
          <w:lang w:val="en-US"/>
        </w:rPr>
        <w:t>DL</w:t>
      </w:r>
      <w:r w:rsidR="00AF6CD6" w:rsidRPr="008A6BFA">
        <w:rPr>
          <w:lang w:val="en-US"/>
        </w:rPr>
        <w:t xml:space="preserve">-only or </w:t>
      </w:r>
      <w:r w:rsidR="005D7F2A">
        <w:rPr>
          <w:lang w:val="en-US"/>
        </w:rPr>
        <w:t>UL&amp;DL</w:t>
      </w:r>
      <w:r w:rsidR="00EA6F0D" w:rsidRPr="00F166FD">
        <w:rPr>
          <w:lang w:val="en-US"/>
        </w:rPr>
        <w:t xml:space="preserve">. Therefore, a cell group can comprise of more UL SCCs than DL SCCs.  </w:t>
      </w:r>
    </w:p>
    <w:p w14:paraId="03BF99FD" w14:textId="12A50C57" w:rsidR="001C4AB6" w:rsidRPr="00F166FD" w:rsidRDefault="00AF6CD6" w:rsidP="002243D8">
      <w:pPr>
        <w:jc w:val="both"/>
        <w:rPr>
          <w:b/>
          <w:lang w:val="en-US"/>
        </w:rPr>
      </w:pPr>
      <w:r w:rsidRPr="00F166FD">
        <w:rPr>
          <w:b/>
          <w:lang w:val="en-US"/>
        </w:rPr>
        <w:t>Proposal</w:t>
      </w:r>
      <w:r w:rsidR="00A46845" w:rsidRPr="00F166FD">
        <w:rPr>
          <w:b/>
          <w:lang w:val="en-US"/>
        </w:rPr>
        <w:t>-3</w:t>
      </w:r>
      <w:r w:rsidRPr="00F166FD">
        <w:rPr>
          <w:b/>
          <w:lang w:val="en-US"/>
        </w:rPr>
        <w:t xml:space="preserve">: SCC can be UL-only CC, DL-only CC or </w:t>
      </w:r>
      <w:r w:rsidR="005D7F2A">
        <w:rPr>
          <w:b/>
          <w:lang w:val="en-US"/>
        </w:rPr>
        <w:t>UL&amp;DL</w:t>
      </w:r>
      <w:r w:rsidRPr="00F166FD">
        <w:rPr>
          <w:b/>
          <w:lang w:val="en-US"/>
        </w:rPr>
        <w:t xml:space="preserve"> CC.</w:t>
      </w:r>
    </w:p>
    <w:p w14:paraId="18589DFB" w14:textId="1214CCD1" w:rsidR="00A907F8" w:rsidRPr="00F166FD" w:rsidRDefault="00DF10DF" w:rsidP="004D04BC">
      <w:pPr>
        <w:jc w:val="both"/>
        <w:rPr>
          <w:lang w:val="en-US"/>
        </w:rPr>
      </w:pPr>
      <w:r w:rsidRPr="00F166FD">
        <w:rPr>
          <w:lang w:val="en-US"/>
        </w:rPr>
        <w:t>Furthermore</w:t>
      </w:r>
      <w:r w:rsidR="008A3180" w:rsidRPr="00F166FD">
        <w:rPr>
          <w:lang w:val="en-US"/>
        </w:rPr>
        <w:t>, the maximum number of aggregated CC</w:t>
      </w:r>
      <w:r w:rsidR="00EF2586" w:rsidRPr="00F166FD">
        <w:rPr>
          <w:lang w:val="en-US"/>
        </w:rPr>
        <w:t>s</w:t>
      </w:r>
      <w:r w:rsidR="008A3180" w:rsidRPr="00F166FD">
        <w:rPr>
          <w:lang w:val="en-US"/>
        </w:rPr>
        <w:t xml:space="preserve"> in physical layer specifications is limited by uplink control channel capacity and downlink control channel capacity, i.e. UCI and DCI </w:t>
      </w:r>
      <w:r w:rsidR="004918CD" w:rsidRPr="00F166FD">
        <w:rPr>
          <w:lang w:val="en-US"/>
        </w:rPr>
        <w:t>load</w:t>
      </w:r>
      <w:r w:rsidR="00F01A05" w:rsidRPr="00F166FD">
        <w:rPr>
          <w:lang w:val="en-US"/>
        </w:rPr>
        <w:t xml:space="preserve"> </w:t>
      </w:r>
      <w:r w:rsidR="004918CD" w:rsidRPr="00F166FD">
        <w:rPr>
          <w:lang w:val="en-US"/>
        </w:rPr>
        <w:t xml:space="preserve">on </w:t>
      </w:r>
      <w:r w:rsidR="00F01A05" w:rsidRPr="00F166FD">
        <w:rPr>
          <w:lang w:val="en-US"/>
        </w:rPr>
        <w:t>PUCCH and PDCCH, in addition to UE capability</w:t>
      </w:r>
      <w:r w:rsidR="008A3180" w:rsidRPr="00F166FD">
        <w:rPr>
          <w:lang w:val="en-US"/>
        </w:rPr>
        <w:t xml:space="preserve">. </w:t>
      </w:r>
      <w:r w:rsidR="007E7BBD" w:rsidRPr="00F166FD">
        <w:rPr>
          <w:lang w:val="en-US"/>
        </w:rPr>
        <w:t>To</w:t>
      </w:r>
      <w:r w:rsidR="00EB0645" w:rsidRPr="00F166FD">
        <w:rPr>
          <w:lang w:val="en-US"/>
        </w:rPr>
        <w:t xml:space="preserve"> guarantee certain level of PUCCH capacity</w:t>
      </w:r>
      <w:r w:rsidR="00D40AEE" w:rsidRPr="00F166FD">
        <w:rPr>
          <w:lang w:val="en-US"/>
        </w:rPr>
        <w:t xml:space="preserve">, we propose </w:t>
      </w:r>
      <w:r w:rsidR="00236306" w:rsidRPr="00F166FD">
        <w:rPr>
          <w:lang w:val="en-US"/>
        </w:rPr>
        <w:t xml:space="preserve">RAN1 </w:t>
      </w:r>
      <w:r w:rsidR="00D40AEE" w:rsidRPr="00F166FD">
        <w:rPr>
          <w:lang w:val="en-US"/>
        </w:rPr>
        <w:t>to specify a maximum number of DL carriers per single</w:t>
      </w:r>
      <w:r w:rsidR="00EB0645" w:rsidRPr="00F166FD">
        <w:rPr>
          <w:lang w:val="en-US"/>
        </w:rPr>
        <w:t xml:space="preserve"> UCI</w:t>
      </w:r>
      <w:r w:rsidR="00D40AEE" w:rsidRPr="00F166FD">
        <w:rPr>
          <w:lang w:val="en-US"/>
        </w:rPr>
        <w:t xml:space="preserve"> PUCCH</w:t>
      </w:r>
      <w:r w:rsidR="004918CD" w:rsidRPr="00F166FD">
        <w:rPr>
          <w:lang w:val="en-US"/>
        </w:rPr>
        <w:t xml:space="preserve"> or what is </w:t>
      </w:r>
      <w:r w:rsidRPr="00F166FD">
        <w:rPr>
          <w:lang w:val="en-US"/>
        </w:rPr>
        <w:t>above defined as NR</w:t>
      </w:r>
      <w:r w:rsidR="004918CD" w:rsidRPr="00F166FD">
        <w:rPr>
          <w:lang w:val="en-US"/>
        </w:rPr>
        <w:t xml:space="preserve"> cell-group</w:t>
      </w:r>
      <w:r w:rsidR="00D40AEE" w:rsidRPr="00F166FD">
        <w:rPr>
          <w:lang w:val="en-US"/>
        </w:rPr>
        <w:t>.</w:t>
      </w:r>
      <w:r w:rsidR="00236306" w:rsidRPr="00F166FD">
        <w:rPr>
          <w:lang w:val="en-US"/>
        </w:rPr>
        <w:t xml:space="preserve"> </w:t>
      </w:r>
    </w:p>
    <w:p w14:paraId="1AB174C9" w14:textId="5B64EF7B" w:rsidR="000348B5" w:rsidRPr="00F166FD" w:rsidRDefault="00A92BDF" w:rsidP="00B13D69">
      <w:pPr>
        <w:jc w:val="both"/>
        <w:rPr>
          <w:lang w:val="en-US"/>
        </w:rPr>
      </w:pPr>
      <w:r w:rsidRPr="00F166FD">
        <w:rPr>
          <w:lang w:val="en-US"/>
        </w:rPr>
        <w:t>Considering</w:t>
      </w:r>
      <w:r w:rsidR="00085109" w:rsidRPr="00F166FD">
        <w:rPr>
          <w:lang w:val="en-US"/>
        </w:rPr>
        <w:t xml:space="preserve"> the exact</w:t>
      </w:r>
      <w:r w:rsidRPr="00F166FD">
        <w:rPr>
          <w:lang w:val="en-US"/>
        </w:rPr>
        <w:t xml:space="preserve"> number of </w:t>
      </w:r>
      <w:r w:rsidR="00236306" w:rsidRPr="00F166FD">
        <w:rPr>
          <w:lang w:val="en-US"/>
        </w:rPr>
        <w:t>DL CCs</w:t>
      </w:r>
      <w:r w:rsidRPr="00F166FD">
        <w:rPr>
          <w:lang w:val="en-US"/>
        </w:rPr>
        <w:t xml:space="preserve"> being </w:t>
      </w:r>
      <w:r w:rsidR="00236306" w:rsidRPr="00F166FD">
        <w:rPr>
          <w:lang w:val="en-US"/>
        </w:rPr>
        <w:t>served</w:t>
      </w:r>
      <w:r w:rsidRPr="00F166FD">
        <w:rPr>
          <w:lang w:val="en-US"/>
        </w:rPr>
        <w:t xml:space="preserve"> by </w:t>
      </w:r>
      <w:r w:rsidR="00236306" w:rsidRPr="00F166FD">
        <w:rPr>
          <w:lang w:val="en-US"/>
        </w:rPr>
        <w:t xml:space="preserve">a </w:t>
      </w:r>
      <w:r w:rsidRPr="00F166FD">
        <w:rPr>
          <w:lang w:val="en-US"/>
        </w:rPr>
        <w:t xml:space="preserve">single </w:t>
      </w:r>
      <w:r w:rsidR="00C4780F" w:rsidRPr="00F166FD">
        <w:rPr>
          <w:lang w:val="en-US"/>
        </w:rPr>
        <w:t>PUCCH</w:t>
      </w:r>
      <w:r w:rsidR="004918CD" w:rsidRPr="00F166FD">
        <w:rPr>
          <w:lang w:val="en-US"/>
        </w:rPr>
        <w:t xml:space="preserve"> </w:t>
      </w:r>
      <w:r w:rsidR="00DF10DF" w:rsidRPr="00F166FD">
        <w:rPr>
          <w:lang w:val="en-US"/>
        </w:rPr>
        <w:t>in NR cell-</w:t>
      </w:r>
      <w:r w:rsidR="004918CD" w:rsidRPr="00F166FD">
        <w:rPr>
          <w:lang w:val="en-US"/>
        </w:rPr>
        <w:t>group</w:t>
      </w:r>
      <w:r w:rsidRPr="00F166FD">
        <w:rPr>
          <w:lang w:val="en-US"/>
        </w:rPr>
        <w:t xml:space="preserve">, one </w:t>
      </w:r>
      <w:r w:rsidR="000348B5" w:rsidRPr="00F166FD">
        <w:rPr>
          <w:lang w:val="en-US"/>
        </w:rPr>
        <w:t xml:space="preserve">should note that when increasing DL data rate </w:t>
      </w:r>
      <w:r w:rsidR="007E7BBD" w:rsidRPr="00F166FD">
        <w:rPr>
          <w:lang w:val="en-US"/>
        </w:rPr>
        <w:t xml:space="preserve">also </w:t>
      </w:r>
      <w:r w:rsidR="000348B5" w:rsidRPr="00F166FD">
        <w:rPr>
          <w:lang w:val="en-US"/>
        </w:rPr>
        <w:t xml:space="preserve">the uplink data rate needs to be increased, otherwise uplink will become congested </w:t>
      </w:r>
      <w:r w:rsidR="00ED1BC7" w:rsidRPr="00F166FD">
        <w:rPr>
          <w:lang w:val="en-US"/>
        </w:rPr>
        <w:t xml:space="preserve">from single user point of view </w:t>
      </w:r>
      <w:r w:rsidR="000348B5" w:rsidRPr="00F166FD">
        <w:rPr>
          <w:lang w:val="en-US"/>
        </w:rPr>
        <w:t xml:space="preserve">and starts limiting </w:t>
      </w:r>
      <w:r w:rsidR="004918CD" w:rsidRPr="00F166FD">
        <w:rPr>
          <w:lang w:val="en-US"/>
        </w:rPr>
        <w:t xml:space="preserve">the </w:t>
      </w:r>
      <w:r w:rsidR="000348B5" w:rsidRPr="00F166FD">
        <w:rPr>
          <w:lang w:val="en-US"/>
        </w:rPr>
        <w:t xml:space="preserve">achievable </w:t>
      </w:r>
      <w:r w:rsidR="00EB0645" w:rsidRPr="00F166FD">
        <w:rPr>
          <w:lang w:val="en-US"/>
        </w:rPr>
        <w:t xml:space="preserve">DL </w:t>
      </w:r>
      <w:r w:rsidR="000348B5" w:rsidRPr="00F166FD">
        <w:rPr>
          <w:lang w:val="en-US"/>
        </w:rPr>
        <w:t>data rate. Thus</w:t>
      </w:r>
      <w:r w:rsidR="00ED1BC7" w:rsidRPr="00F166FD">
        <w:rPr>
          <w:lang w:val="en-US"/>
        </w:rPr>
        <w:t>,</w:t>
      </w:r>
      <w:r w:rsidR="000348B5" w:rsidRPr="00F166FD">
        <w:rPr>
          <w:lang w:val="en-US"/>
        </w:rPr>
        <w:t xml:space="preserve"> configuring e.g. single uplink and </w:t>
      </w:r>
      <w:r w:rsidR="00236306" w:rsidRPr="00F166FD">
        <w:rPr>
          <w:lang w:val="en-US"/>
        </w:rPr>
        <w:t>16</w:t>
      </w:r>
      <w:r w:rsidR="000348B5" w:rsidRPr="00F166FD">
        <w:rPr>
          <w:lang w:val="en-US"/>
        </w:rPr>
        <w:t xml:space="preserve"> downlinks</w:t>
      </w:r>
      <w:r w:rsidR="0080152E" w:rsidRPr="00F166FD">
        <w:rPr>
          <w:lang w:val="en-US"/>
        </w:rPr>
        <w:t xml:space="preserve">, will be significant </w:t>
      </w:r>
      <w:r w:rsidR="00236306" w:rsidRPr="00F166FD">
        <w:rPr>
          <w:lang w:val="en-US"/>
        </w:rPr>
        <w:t xml:space="preserve">DL BW </w:t>
      </w:r>
      <w:r w:rsidR="0080152E" w:rsidRPr="00F166FD">
        <w:rPr>
          <w:lang w:val="en-US"/>
        </w:rPr>
        <w:t>over</w:t>
      </w:r>
      <w:r w:rsidR="00236306" w:rsidRPr="00F166FD">
        <w:rPr>
          <w:lang w:val="en-US"/>
        </w:rPr>
        <w:t>-</w:t>
      </w:r>
      <w:r w:rsidR="0080152E" w:rsidRPr="00F166FD">
        <w:rPr>
          <w:lang w:val="en-US"/>
        </w:rPr>
        <w:t xml:space="preserve">dimensioning </w:t>
      </w:r>
      <w:r w:rsidR="00236306" w:rsidRPr="00F166FD">
        <w:rPr>
          <w:lang w:val="en-US"/>
        </w:rPr>
        <w:t>with respect</w:t>
      </w:r>
      <w:r w:rsidR="0080152E" w:rsidRPr="00F166FD">
        <w:rPr>
          <w:lang w:val="en-US"/>
        </w:rPr>
        <w:t xml:space="preserve"> </w:t>
      </w:r>
      <w:r w:rsidR="00236306" w:rsidRPr="00F166FD">
        <w:rPr>
          <w:lang w:val="en-US"/>
        </w:rPr>
        <w:t>to uplink BW. This</w:t>
      </w:r>
      <w:r w:rsidR="000348B5" w:rsidRPr="00F166FD">
        <w:rPr>
          <w:lang w:val="en-US"/>
        </w:rPr>
        <w:t xml:space="preserve"> </w:t>
      </w:r>
      <w:r w:rsidR="00236306" w:rsidRPr="00F166FD">
        <w:rPr>
          <w:lang w:val="en-US"/>
        </w:rPr>
        <w:t>UL/DL BW ratio of 1:16 in</w:t>
      </w:r>
      <w:r w:rsidR="000348B5" w:rsidRPr="00F166FD">
        <w:rPr>
          <w:lang w:val="en-US"/>
        </w:rPr>
        <w:t xml:space="preserve"> not realistic</w:t>
      </w:r>
      <w:r w:rsidR="0080152E" w:rsidRPr="00F166FD">
        <w:rPr>
          <w:lang w:val="en-US"/>
        </w:rPr>
        <w:t>,</w:t>
      </w:r>
      <w:r w:rsidR="000348B5" w:rsidRPr="00F166FD">
        <w:rPr>
          <w:lang w:val="en-US"/>
        </w:rPr>
        <w:t xml:space="preserve"> rather maximum </w:t>
      </w:r>
      <w:r w:rsidR="00EB0645" w:rsidRPr="00F166FD">
        <w:rPr>
          <w:lang w:val="en-US"/>
        </w:rPr>
        <w:t xml:space="preserve">reasonable </w:t>
      </w:r>
      <w:r w:rsidR="000348B5" w:rsidRPr="00F166FD">
        <w:rPr>
          <w:lang w:val="en-US"/>
        </w:rPr>
        <w:t>expected ratio is 1:8.</w:t>
      </w:r>
      <w:r w:rsidR="00393C4F" w:rsidRPr="00F166FD">
        <w:rPr>
          <w:lang w:val="en-US"/>
        </w:rPr>
        <w:t xml:space="preserve"> Similar restrictions should be applied for cross-carrier scheduling regarding the DL control channel capacity. Also here we think that limiting the cross-carrier scheduling to 8 CCs from a single scheduling cell/carrier to be appropriate</w:t>
      </w:r>
      <w:r w:rsidR="00F166FD">
        <w:rPr>
          <w:lang w:val="en-US"/>
        </w:rPr>
        <w:t>.</w:t>
      </w:r>
      <w:r w:rsidR="00393C4F" w:rsidRPr="00F166FD">
        <w:rPr>
          <w:lang w:val="en-US"/>
        </w:rPr>
        <w:t xml:space="preserve">  </w:t>
      </w:r>
      <w:r w:rsidR="000348B5" w:rsidRPr="00F166FD">
        <w:rPr>
          <w:lang w:val="en-US"/>
        </w:rPr>
        <w:t xml:space="preserve"> </w:t>
      </w:r>
    </w:p>
    <w:p w14:paraId="24DA0B41" w14:textId="159CF5B6" w:rsidR="00A92BDF" w:rsidRPr="008B01A6" w:rsidRDefault="00C4780F" w:rsidP="00B13D69">
      <w:pPr>
        <w:pStyle w:val="Caption"/>
        <w:jc w:val="both"/>
        <w:rPr>
          <w:lang w:val="en-US"/>
        </w:rPr>
      </w:pPr>
      <w:bookmarkStart w:id="6" w:name="_Ref473903416"/>
      <w:r w:rsidRPr="008B01A6">
        <w:rPr>
          <w:lang w:val="en-US"/>
        </w:rPr>
        <w:t>Proposal</w:t>
      </w:r>
      <w:r w:rsidR="00A46845">
        <w:rPr>
          <w:lang w:val="en-US"/>
        </w:rPr>
        <w:t>-4</w:t>
      </w:r>
      <w:r w:rsidR="00135FFC" w:rsidRPr="008B01A6">
        <w:rPr>
          <w:lang w:val="en-US"/>
        </w:rPr>
        <w:t>:</w:t>
      </w:r>
      <w:r w:rsidR="00B05D08" w:rsidRPr="008B01A6">
        <w:rPr>
          <w:lang w:val="en-US"/>
        </w:rPr>
        <w:t xml:space="preserve"> </w:t>
      </w:r>
      <w:r w:rsidR="004918CD" w:rsidRPr="008B01A6">
        <w:rPr>
          <w:lang w:val="en-US"/>
        </w:rPr>
        <w:t xml:space="preserve">Support a maximum of 8 </w:t>
      </w:r>
      <w:r w:rsidR="00B05D08" w:rsidRPr="008B01A6">
        <w:rPr>
          <w:lang w:val="en-US"/>
        </w:rPr>
        <w:t xml:space="preserve">DL </w:t>
      </w:r>
      <w:r w:rsidR="004918CD" w:rsidRPr="008B01A6">
        <w:rPr>
          <w:lang w:val="en-US"/>
        </w:rPr>
        <w:t xml:space="preserve">component </w:t>
      </w:r>
      <w:r w:rsidR="00B05D08" w:rsidRPr="008B01A6">
        <w:rPr>
          <w:lang w:val="en-US"/>
        </w:rPr>
        <w:t>carriers per</w:t>
      </w:r>
      <w:r w:rsidR="007C48D1">
        <w:rPr>
          <w:lang w:val="en-US"/>
        </w:rPr>
        <w:t xml:space="preserve"> </w:t>
      </w:r>
      <w:r w:rsidR="00FB4955">
        <w:rPr>
          <w:lang w:val="en-US"/>
        </w:rPr>
        <w:t xml:space="preserve">NR </w:t>
      </w:r>
      <w:r w:rsidR="007C48D1">
        <w:rPr>
          <w:lang w:val="en-US"/>
        </w:rPr>
        <w:t>cell-</w:t>
      </w:r>
      <w:r w:rsidR="004918CD" w:rsidRPr="008B01A6">
        <w:rPr>
          <w:lang w:val="en-US"/>
        </w:rPr>
        <w:t>group</w:t>
      </w:r>
      <w:r w:rsidR="00393C4F">
        <w:rPr>
          <w:lang w:val="en-US"/>
        </w:rPr>
        <w:t xml:space="preserve"> and restrict the NR cross-carrier scheduling operation to</w:t>
      </w:r>
      <w:r w:rsidR="00F166FD">
        <w:rPr>
          <w:lang w:val="en-US"/>
        </w:rPr>
        <w:t xml:space="preserve"> maximum of</w:t>
      </w:r>
      <w:r w:rsidR="00393C4F">
        <w:rPr>
          <w:lang w:val="en-US"/>
        </w:rPr>
        <w:t xml:space="preserve"> 8 scheduled CC</w:t>
      </w:r>
      <w:r w:rsidR="00F166FD">
        <w:rPr>
          <w:lang w:val="en-US"/>
        </w:rPr>
        <w:t>s</w:t>
      </w:r>
      <w:r w:rsidR="00393C4F">
        <w:rPr>
          <w:lang w:val="en-US"/>
        </w:rPr>
        <w:t xml:space="preserve"> from a single scheduling DL CC</w:t>
      </w:r>
      <w:r w:rsidR="00B05D08" w:rsidRPr="008B01A6">
        <w:rPr>
          <w:lang w:val="en-US"/>
        </w:rPr>
        <w:t xml:space="preserve">. </w:t>
      </w:r>
      <w:r w:rsidR="004918CD" w:rsidRPr="008B01A6">
        <w:rPr>
          <w:lang w:val="en-US"/>
        </w:rPr>
        <w:t xml:space="preserve">To support 16 DL component carriers two </w:t>
      </w:r>
      <w:r w:rsidR="007C48D1">
        <w:rPr>
          <w:lang w:val="en-US"/>
        </w:rPr>
        <w:t>NR cell-groups</w:t>
      </w:r>
      <w:r w:rsidR="004918CD" w:rsidRPr="008B01A6">
        <w:rPr>
          <w:lang w:val="en-US"/>
        </w:rPr>
        <w:t xml:space="preserve"> are to be configured. </w:t>
      </w:r>
      <w:bookmarkEnd w:id="6"/>
    </w:p>
    <w:p w14:paraId="68FF8266" w14:textId="7685EC93" w:rsidR="00664F8B" w:rsidRPr="00F166FD" w:rsidRDefault="00747022" w:rsidP="00B13D69">
      <w:pPr>
        <w:jc w:val="both"/>
        <w:rPr>
          <w:lang w:val="en-US"/>
        </w:rPr>
      </w:pPr>
      <w:r w:rsidRPr="00F166FD">
        <w:rPr>
          <w:lang w:val="en-US"/>
        </w:rPr>
        <w:t xml:space="preserve">In the </w:t>
      </w:r>
      <w:r w:rsidR="009819E6" w:rsidRPr="00F166FD">
        <w:rPr>
          <w:lang w:val="en-US"/>
        </w:rPr>
        <w:t>RAN1#88b</w:t>
      </w:r>
      <w:r w:rsidRPr="00F166FD">
        <w:rPr>
          <w:lang w:val="en-US"/>
        </w:rPr>
        <w:t xml:space="preserve">, it was agreed that multiple timing advance groups (TAGs) are supported. In LTE, </w:t>
      </w:r>
      <w:r w:rsidR="00972DEC" w:rsidRPr="00F166FD">
        <w:rPr>
          <w:lang w:val="en-US"/>
        </w:rPr>
        <w:t>multiple</w:t>
      </w:r>
      <w:r w:rsidRPr="00F166FD">
        <w:rPr>
          <w:lang w:val="en-US"/>
        </w:rPr>
        <w:t xml:space="preserve"> TAGs</w:t>
      </w:r>
      <w:r w:rsidR="00862D90" w:rsidRPr="00F166FD">
        <w:rPr>
          <w:lang w:val="en-US"/>
        </w:rPr>
        <w:t xml:space="preserve"> (up to four)</w:t>
      </w:r>
      <w:r w:rsidRPr="00F166FD">
        <w:rPr>
          <w:lang w:val="en-US"/>
        </w:rPr>
        <w:t xml:space="preserve"> </w:t>
      </w:r>
      <w:r w:rsidR="00972DEC" w:rsidRPr="00F166FD">
        <w:rPr>
          <w:lang w:val="en-US"/>
        </w:rPr>
        <w:t>can be</w:t>
      </w:r>
      <w:r w:rsidRPr="00F166FD">
        <w:rPr>
          <w:lang w:val="en-US"/>
        </w:rPr>
        <w:t xml:space="preserve"> configured to enable separate TAs for </w:t>
      </w:r>
      <w:r w:rsidR="00664AF1" w:rsidRPr="00F166FD">
        <w:rPr>
          <w:lang w:val="en-US"/>
        </w:rPr>
        <w:t>no</w:t>
      </w:r>
      <w:r w:rsidR="00393C4F" w:rsidRPr="00F166FD">
        <w:rPr>
          <w:lang w:val="en-US"/>
        </w:rPr>
        <w:t>n</w:t>
      </w:r>
      <w:r w:rsidR="00664AF1" w:rsidRPr="00F166FD">
        <w:rPr>
          <w:lang w:val="en-US"/>
        </w:rPr>
        <w:t xml:space="preserve"> co-located</w:t>
      </w:r>
      <w:r w:rsidR="00393C4F" w:rsidRPr="00F166FD">
        <w:rPr>
          <w:lang w:val="en-US"/>
        </w:rPr>
        <w:t xml:space="preserve"> cells</w:t>
      </w:r>
      <w:r w:rsidR="00972DEC" w:rsidRPr="00F166FD">
        <w:rPr>
          <w:lang w:val="en-US"/>
        </w:rPr>
        <w:t>. Each TAG contains at least one serving cell with configured uplink. Therefore</w:t>
      </w:r>
      <w:r w:rsidR="00664AF1" w:rsidRPr="00F166FD">
        <w:rPr>
          <w:lang w:val="en-US"/>
        </w:rPr>
        <w:t>, we propose that in NR:</w:t>
      </w:r>
    </w:p>
    <w:p w14:paraId="672B7D82" w14:textId="6981131B" w:rsidR="00747022" w:rsidRPr="00F166FD" w:rsidRDefault="00972DEC" w:rsidP="00B13D69">
      <w:pPr>
        <w:jc w:val="both"/>
        <w:rPr>
          <w:b/>
          <w:lang w:val="en-US"/>
        </w:rPr>
      </w:pPr>
      <w:r w:rsidRPr="00F166FD">
        <w:rPr>
          <w:b/>
          <w:lang w:val="en-US"/>
        </w:rPr>
        <w:t>Proposal</w:t>
      </w:r>
      <w:r w:rsidR="00A46845" w:rsidRPr="00F166FD">
        <w:rPr>
          <w:b/>
          <w:lang w:val="en-US"/>
        </w:rPr>
        <w:t>-5</w:t>
      </w:r>
      <w:r w:rsidRPr="00F166FD">
        <w:rPr>
          <w:b/>
          <w:lang w:val="en-US"/>
        </w:rPr>
        <w:t>: NR</w:t>
      </w:r>
      <w:r w:rsidR="00664AF1" w:rsidRPr="00F166FD">
        <w:rPr>
          <w:b/>
          <w:lang w:val="en-US"/>
        </w:rPr>
        <w:t xml:space="preserve"> </w:t>
      </w:r>
      <w:r w:rsidR="008D70E3" w:rsidRPr="00F166FD">
        <w:rPr>
          <w:b/>
          <w:lang w:val="en-US"/>
        </w:rPr>
        <w:t>g</w:t>
      </w:r>
      <w:r w:rsidR="00664AF1" w:rsidRPr="00F166FD">
        <w:rPr>
          <w:b/>
          <w:lang w:val="en-US"/>
        </w:rPr>
        <w:t>NB can configure</w:t>
      </w:r>
      <w:r w:rsidR="006B0E85" w:rsidRPr="00F166FD">
        <w:rPr>
          <w:b/>
          <w:lang w:val="en-US"/>
        </w:rPr>
        <w:t xml:space="preserve"> to a UE</w:t>
      </w:r>
      <w:r w:rsidR="00862D90" w:rsidRPr="00F166FD">
        <w:rPr>
          <w:b/>
          <w:lang w:val="en-US"/>
        </w:rPr>
        <w:t xml:space="preserve"> at least 4 TAGs</w:t>
      </w:r>
      <w:r w:rsidR="006B0E85" w:rsidRPr="00F166FD">
        <w:rPr>
          <w:b/>
          <w:lang w:val="en-US"/>
        </w:rPr>
        <w:t>, where each TAG contains at least one serving cell with configured uplink</w:t>
      </w:r>
      <w:r w:rsidR="00862D90" w:rsidRPr="00F166FD">
        <w:rPr>
          <w:b/>
          <w:lang w:val="en-US"/>
        </w:rPr>
        <w:t>. FFS on whether more</w:t>
      </w:r>
      <w:r w:rsidR="00C62CE5" w:rsidRPr="00F166FD">
        <w:rPr>
          <w:b/>
          <w:lang w:val="en-US"/>
        </w:rPr>
        <w:t xml:space="preserve"> than 4</w:t>
      </w:r>
      <w:r w:rsidR="00862D90" w:rsidRPr="00F166FD">
        <w:rPr>
          <w:b/>
          <w:lang w:val="en-US"/>
        </w:rPr>
        <w:t xml:space="preserve"> </w:t>
      </w:r>
      <w:r w:rsidR="00C62CE5" w:rsidRPr="00F166FD">
        <w:rPr>
          <w:b/>
          <w:lang w:val="en-US"/>
        </w:rPr>
        <w:t>TAGs can be configured</w:t>
      </w:r>
      <w:r w:rsidR="00862D90" w:rsidRPr="00F166FD">
        <w:rPr>
          <w:b/>
          <w:lang w:val="en-US"/>
        </w:rPr>
        <w:t>.</w:t>
      </w:r>
      <w:r w:rsidR="00664AF1" w:rsidRPr="00F166FD">
        <w:rPr>
          <w:b/>
          <w:lang w:val="en-US"/>
        </w:rPr>
        <w:t xml:space="preserve"> </w:t>
      </w:r>
    </w:p>
    <w:p w14:paraId="3531635B" w14:textId="77777777" w:rsidR="00972DEC" w:rsidRPr="00F166FD" w:rsidRDefault="00972DEC" w:rsidP="00AA11F7">
      <w:pPr>
        <w:rPr>
          <w:lang w:val="en-US"/>
        </w:rPr>
      </w:pPr>
    </w:p>
    <w:p w14:paraId="65E46D4D" w14:textId="31E359DC" w:rsidR="00EB0645" w:rsidRPr="004E45EA" w:rsidRDefault="002F37E3" w:rsidP="004E45EA">
      <w:pPr>
        <w:pStyle w:val="Heading1"/>
      </w:pPr>
      <w:r>
        <w:t>3</w:t>
      </w:r>
      <w:r w:rsidR="00F166FD">
        <w:t xml:space="preserve"> </w:t>
      </w:r>
      <w:r w:rsidR="00241FCC">
        <w:t>HARQ process sharing between carriers</w:t>
      </w:r>
    </w:p>
    <w:p w14:paraId="5B30AC76" w14:textId="5D84A24F" w:rsidR="00241FCC" w:rsidRPr="00F166FD" w:rsidRDefault="00241FCC" w:rsidP="00CB6E3B">
      <w:pPr>
        <w:jc w:val="both"/>
        <w:rPr>
          <w:lang w:val="en-US"/>
        </w:rPr>
      </w:pPr>
      <w:r w:rsidRPr="00F166FD">
        <w:rPr>
          <w:lang w:val="en-US"/>
        </w:rPr>
        <w:t>In LTE, the number of HARQ processes is the same and static for all cells based on fixed HARQ RTT requirement, thus preventing HARQ stall when system operation can meet the required RTT.</w:t>
      </w:r>
    </w:p>
    <w:p w14:paraId="75551304" w14:textId="5F1C3C2E" w:rsidR="00241FCC" w:rsidRPr="00F166FD" w:rsidRDefault="00241FCC" w:rsidP="00CB6E3B">
      <w:pPr>
        <w:jc w:val="both"/>
        <w:rPr>
          <w:lang w:val="en-US"/>
        </w:rPr>
      </w:pPr>
      <w:r w:rsidRPr="00F166FD">
        <w:rPr>
          <w:lang w:val="en-US"/>
        </w:rPr>
        <w:lastRenderedPageBreak/>
        <w:t xml:space="preserve">However, in different 5G RAN network architectures depicted in Figure 2, the supported HARQ RTT may vary due to different deployment decisions. Thus, it may not be possible to pre-determine the number of HARQ processes needed per link/cell to avoid HARQ stall. Even if it is possible to determine an upper bound for each cell to support the required RTT, as done in LTE, such definition would result unnecessarily high over-provisioning of the total number of HARQ processes </w:t>
      </w:r>
      <w:r w:rsidR="00950727" w:rsidRPr="00F166FD">
        <w:rPr>
          <w:lang w:val="en-US"/>
        </w:rPr>
        <w:t>(</w:t>
      </w:r>
      <w:r w:rsidRPr="00F166FD">
        <w:rPr>
          <w:lang w:val="en-US"/>
        </w:rPr>
        <w:t xml:space="preserve">and </w:t>
      </w:r>
      <w:r w:rsidR="00950727" w:rsidRPr="00F166FD">
        <w:rPr>
          <w:lang w:val="en-US"/>
        </w:rPr>
        <w:t xml:space="preserve">potentially </w:t>
      </w:r>
      <w:r w:rsidRPr="00F166FD">
        <w:rPr>
          <w:lang w:val="en-US"/>
        </w:rPr>
        <w:t>the soft-buffer memory</w:t>
      </w:r>
      <w:r w:rsidR="00950727" w:rsidRPr="00F166FD">
        <w:rPr>
          <w:lang w:val="en-US"/>
        </w:rPr>
        <w:t>)</w:t>
      </w:r>
      <w:r w:rsidRPr="00F166FD">
        <w:rPr>
          <w:lang w:val="en-US"/>
        </w:rPr>
        <w:t xml:space="preserve"> </w:t>
      </w:r>
      <w:r w:rsidR="00950727" w:rsidRPr="00F166FD">
        <w:rPr>
          <w:lang w:val="en-US"/>
        </w:rPr>
        <w:t>for a</w:t>
      </w:r>
      <w:r w:rsidRPr="00F166FD">
        <w:rPr>
          <w:lang w:val="en-US"/>
        </w:rPr>
        <w:t xml:space="preserve"> UE especially </w:t>
      </w:r>
      <w:r w:rsidR="00950727" w:rsidRPr="00F166FD">
        <w:rPr>
          <w:lang w:val="en-US"/>
        </w:rPr>
        <w:t>for a large number of supported CCs</w:t>
      </w:r>
      <w:r w:rsidRPr="00F166FD">
        <w:rPr>
          <w:lang w:val="en-US"/>
        </w:rPr>
        <w:t>.</w:t>
      </w:r>
    </w:p>
    <w:p w14:paraId="5BC76CB9" w14:textId="007CE66F" w:rsidR="00241FCC" w:rsidRPr="00F166FD" w:rsidRDefault="00241FCC" w:rsidP="00CB6E3B">
      <w:pPr>
        <w:jc w:val="both"/>
        <w:rPr>
          <w:lang w:val="en-US"/>
        </w:rPr>
      </w:pPr>
      <w:r w:rsidRPr="00F166FD">
        <w:rPr>
          <w:lang w:val="en-US"/>
        </w:rPr>
        <w:t>Therefore, we consider that in NR, the number of HARQ processes per CC should not be fixed, but instead we should allow for configuring or semi-statically allocating the number of HARQ processes that can be used on each of the CCs. By enabling such configuration, the UE could therefore operate with a smaller number of HARQ processes than</w:t>
      </w:r>
      <w:r w:rsidR="009819E6" w:rsidRPr="00F166FD">
        <w:rPr>
          <w:lang w:val="en-US"/>
        </w:rPr>
        <w:t xml:space="preserve"> the maximum number per CC</w:t>
      </w:r>
      <w:r w:rsidRPr="00F166FD">
        <w:rPr>
          <w:lang w:val="en-US"/>
        </w:rPr>
        <w:t xml:space="preserve"> supported by specification and for each of the HARQ processes more soft-buffer memory would be available.</w:t>
      </w:r>
    </w:p>
    <w:p w14:paraId="0CA2E12F" w14:textId="1C6D5D2F" w:rsidR="00241FCC" w:rsidRPr="00F166FD" w:rsidRDefault="00241FCC" w:rsidP="00CB6E3B">
      <w:pPr>
        <w:jc w:val="both"/>
        <w:rPr>
          <w:lang w:val="en-US"/>
        </w:rPr>
      </w:pPr>
      <w:r w:rsidRPr="00F166FD">
        <w:rPr>
          <w:lang w:val="en-US"/>
        </w:rPr>
        <w:t>But it is not just the absolute number of HARQ processes a UE needs to support that needs to be considered, but also the soft-buffer requirements and the soft-buffer partitioning over the different CCs. In LTE the soft-buffer partitioning is static and equally distributed over the CCs. Having now the ability to configure the number of usable HARQ processes per CC, the gNB can also take the different carrier bandwidths (and corresponding peak data rates / soft-buffer requirements for a HARQ processes) into account when configuring the number of HARQ processes. On a narrowband carrier (such as 20MHz) much less soft-buffer memory for a HARQ processes will be required compared to the case of a wideband carrier (such as 100 to 400MHz). Therefore, having the CA &amp; DuCo configuration of the UE with different carrier bandwidths in mind, the gNB will be able to adjust the number of HARQ processes on each component carrier to guarantee sufficient soft-buffer memory for each HARQ process. More discussion on HARQ process operation and soft-buffer management can be found in</w:t>
      </w:r>
      <w:r w:rsidR="00A46845" w:rsidRPr="00F166FD">
        <w:rPr>
          <w:lang w:val="en-US"/>
        </w:rPr>
        <w:t xml:space="preserve"> our accompanying contribution </w:t>
      </w:r>
      <w:r w:rsidR="00CB6E3B">
        <w:fldChar w:fldCharType="begin"/>
      </w:r>
      <w:r w:rsidR="00CB6E3B" w:rsidRPr="00F166FD">
        <w:rPr>
          <w:lang w:val="en-US"/>
        </w:rPr>
        <w:instrText xml:space="preserve"> REF _Ref485372807 \r \h  \* MERGEFORMAT </w:instrText>
      </w:r>
      <w:r w:rsidR="00CB6E3B">
        <w:fldChar w:fldCharType="separate"/>
      </w:r>
      <w:r w:rsidR="00CB6E3B" w:rsidRPr="00F166FD">
        <w:rPr>
          <w:lang w:val="en-US"/>
        </w:rPr>
        <w:t>[3]</w:t>
      </w:r>
      <w:r w:rsidR="00CB6E3B">
        <w:fldChar w:fldCharType="end"/>
      </w:r>
      <w:r w:rsidRPr="00F166FD">
        <w:rPr>
          <w:lang w:val="en-US"/>
        </w:rPr>
        <w:t>.</w:t>
      </w:r>
    </w:p>
    <w:p w14:paraId="5FA571BC" w14:textId="77777777" w:rsidR="00241FCC" w:rsidRPr="00F166FD" w:rsidRDefault="00241FCC" w:rsidP="00241FCC">
      <w:pPr>
        <w:rPr>
          <w:lang w:val="en-US"/>
        </w:rPr>
      </w:pPr>
    </w:p>
    <w:p w14:paraId="153DD461" w14:textId="77777777" w:rsidR="00241FCC" w:rsidRPr="00A83605" w:rsidRDefault="00241FCC" w:rsidP="00241FCC">
      <w:pPr>
        <w:ind w:left="633"/>
        <w:jc w:val="center"/>
        <w:rPr>
          <w:lang w:val="en-GB"/>
        </w:rPr>
      </w:pPr>
      <w:r w:rsidRPr="00AA1BBC">
        <w:rPr>
          <w:noProof/>
          <w:lang w:eastAsia="fi-FI"/>
        </w:rPr>
        <w:drawing>
          <wp:inline distT="0" distB="0" distL="0" distR="0" wp14:anchorId="7F82CCF3" wp14:editId="57FD7B04">
            <wp:extent cx="266700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0" cy="1981200"/>
                    </a:xfrm>
                    <a:prstGeom prst="rect">
                      <a:avLst/>
                    </a:prstGeom>
                    <a:noFill/>
                    <a:ln>
                      <a:noFill/>
                    </a:ln>
                  </pic:spPr>
                </pic:pic>
              </a:graphicData>
            </a:graphic>
          </wp:inline>
        </w:drawing>
      </w:r>
    </w:p>
    <w:p w14:paraId="00094AAF" w14:textId="77777777" w:rsidR="00241FCC" w:rsidRDefault="00241FCC" w:rsidP="00241FCC">
      <w:pPr>
        <w:pStyle w:val="Caption"/>
        <w:jc w:val="center"/>
        <w:rPr>
          <w:lang w:val="en-GB"/>
        </w:rPr>
      </w:pPr>
      <w:bookmarkStart w:id="7" w:name="_Ref433114835"/>
      <w:r w:rsidRPr="00A83605">
        <w:rPr>
          <w:lang w:val="en-GB"/>
        </w:rPr>
        <w:t xml:space="preserve">Figure </w:t>
      </w:r>
      <w:r>
        <w:rPr>
          <w:lang w:val="en-GB"/>
        </w:rPr>
        <w:t>2</w:t>
      </w:r>
      <w:bookmarkEnd w:id="7"/>
      <w:r w:rsidRPr="00A83605">
        <w:rPr>
          <w:lang w:val="en-GB"/>
        </w:rPr>
        <w:t>: Dual Connectivity with cloud RAN involving non-zero front-haul latency</w:t>
      </w:r>
    </w:p>
    <w:p w14:paraId="690912D6" w14:textId="77777777" w:rsidR="00241FCC" w:rsidRPr="00241FCC" w:rsidRDefault="00241FCC" w:rsidP="00241FCC">
      <w:pPr>
        <w:rPr>
          <w:lang w:val="en-GB"/>
        </w:rPr>
      </w:pPr>
    </w:p>
    <w:p w14:paraId="1C2477E8" w14:textId="77777777" w:rsidR="00241FCC" w:rsidRPr="00F166FD" w:rsidRDefault="00241FCC" w:rsidP="00241FCC">
      <w:pPr>
        <w:rPr>
          <w:lang w:val="en-US"/>
        </w:rPr>
      </w:pPr>
      <w:r w:rsidRPr="00F166FD">
        <w:rPr>
          <w:lang w:val="en-US"/>
        </w:rPr>
        <w:t xml:space="preserve"> </w:t>
      </w:r>
    </w:p>
    <w:p w14:paraId="28220284" w14:textId="696E30EA" w:rsidR="008B226A" w:rsidRPr="00F166FD" w:rsidRDefault="00241FCC" w:rsidP="00CB6E3B">
      <w:pPr>
        <w:jc w:val="both"/>
        <w:rPr>
          <w:b/>
          <w:lang w:val="en-US"/>
        </w:rPr>
      </w:pPr>
      <w:r w:rsidRPr="00F166FD">
        <w:rPr>
          <w:b/>
          <w:lang w:val="en-US"/>
        </w:rPr>
        <w:t>Proposal</w:t>
      </w:r>
      <w:r w:rsidR="00CB6E3B" w:rsidRPr="00F166FD">
        <w:rPr>
          <w:b/>
          <w:lang w:val="en-US"/>
        </w:rPr>
        <w:t>-6</w:t>
      </w:r>
      <w:r w:rsidRPr="00F166FD">
        <w:rPr>
          <w:b/>
          <w:lang w:val="en-US"/>
        </w:rPr>
        <w:t>: Support a semi-static allocation or configuration of the maximum number of HARQ processes per configured CC to enable efficient soft-buffer management.</w:t>
      </w:r>
    </w:p>
    <w:p w14:paraId="7E64A2C4" w14:textId="1D782CFE" w:rsidR="009819E6" w:rsidRPr="00F166FD" w:rsidRDefault="00950727" w:rsidP="00CB6E3B">
      <w:pPr>
        <w:jc w:val="both"/>
        <w:rPr>
          <w:lang w:val="en-US"/>
        </w:rPr>
      </w:pPr>
      <w:r w:rsidRPr="00F166FD">
        <w:rPr>
          <w:lang w:val="en-US"/>
        </w:rPr>
        <w:t xml:space="preserve">One additional </w:t>
      </w:r>
      <w:r w:rsidR="00072577" w:rsidRPr="00F166FD">
        <w:rPr>
          <w:lang w:val="en-US"/>
        </w:rPr>
        <w:t>issue</w:t>
      </w:r>
      <w:r w:rsidR="00641D5A" w:rsidRPr="00F166FD">
        <w:rPr>
          <w:lang w:val="en-US"/>
        </w:rPr>
        <w:t xml:space="preserve"> related to HAR</w:t>
      </w:r>
      <w:r w:rsidR="009819E6" w:rsidRPr="00F166FD">
        <w:rPr>
          <w:lang w:val="en-US"/>
        </w:rPr>
        <w:t>Q</w:t>
      </w:r>
      <w:r w:rsidR="00641D5A" w:rsidRPr="00F166FD">
        <w:rPr>
          <w:lang w:val="en-US"/>
        </w:rPr>
        <w:t xml:space="preserve"> operation for CA/DC is</w:t>
      </w:r>
      <w:r w:rsidR="009819E6" w:rsidRPr="00F166FD">
        <w:rPr>
          <w:lang w:val="en-US"/>
        </w:rPr>
        <w:t xml:space="preserve"> </w:t>
      </w:r>
      <w:r w:rsidR="00CB6E3B" w:rsidRPr="00F166FD">
        <w:rPr>
          <w:lang w:val="en-US"/>
        </w:rPr>
        <w:t xml:space="preserve">HARQ </w:t>
      </w:r>
      <w:r w:rsidR="009819E6" w:rsidRPr="00F166FD">
        <w:rPr>
          <w:lang w:val="en-US"/>
        </w:rPr>
        <w:t>process</w:t>
      </w:r>
      <w:r w:rsidR="00641D5A" w:rsidRPr="00F166FD">
        <w:rPr>
          <w:lang w:val="en-US"/>
        </w:rPr>
        <w:t xml:space="preserve"> sharing between carriers, which would enable re-transmission of </w:t>
      </w:r>
      <w:r w:rsidRPr="00F166FD">
        <w:rPr>
          <w:lang w:val="en-US"/>
        </w:rPr>
        <w:t xml:space="preserve">a </w:t>
      </w:r>
      <w:r w:rsidR="00641D5A" w:rsidRPr="00F166FD">
        <w:rPr>
          <w:lang w:val="en-US"/>
        </w:rPr>
        <w:t xml:space="preserve">HARQ-process </w:t>
      </w:r>
      <w:r w:rsidRPr="00F166FD">
        <w:rPr>
          <w:lang w:val="en-US"/>
        </w:rPr>
        <w:t xml:space="preserve">(and the associated transport block(s)) </w:t>
      </w:r>
      <w:r w:rsidR="00641D5A" w:rsidRPr="00F166FD">
        <w:rPr>
          <w:lang w:val="en-US"/>
        </w:rPr>
        <w:t xml:space="preserve">initiated </w:t>
      </w:r>
      <w:r w:rsidR="00072577" w:rsidRPr="00F166FD">
        <w:rPr>
          <w:lang w:val="en-US"/>
        </w:rPr>
        <w:t>at</w:t>
      </w:r>
      <w:r w:rsidR="00641D5A" w:rsidRPr="00F166FD">
        <w:rPr>
          <w:lang w:val="en-US"/>
        </w:rPr>
        <w:t xml:space="preserve"> one carrier on the other carrier. Firstly, this would require up to 4 additional bits in DCI to be able to address HARQ process among </w:t>
      </w:r>
      <w:r w:rsidR="00CB6E3B" w:rsidRPr="00F166FD">
        <w:rPr>
          <w:lang w:val="en-US"/>
        </w:rPr>
        <w:t xml:space="preserve">up to </w:t>
      </w:r>
      <w:r w:rsidR="00641D5A" w:rsidRPr="00F166FD">
        <w:rPr>
          <w:lang w:val="en-US"/>
        </w:rPr>
        <w:t>16 CCs</w:t>
      </w:r>
      <w:r w:rsidR="00CB6E3B" w:rsidRPr="00F166FD">
        <w:rPr>
          <w:lang w:val="en-US"/>
        </w:rPr>
        <w:t xml:space="preserve"> supported</w:t>
      </w:r>
      <w:r w:rsidR="00641D5A" w:rsidRPr="00F166FD">
        <w:rPr>
          <w:lang w:val="en-US"/>
        </w:rPr>
        <w:t xml:space="preserve"> in NR. </w:t>
      </w:r>
      <w:r w:rsidR="007F748E" w:rsidRPr="00F166FD">
        <w:rPr>
          <w:lang w:val="en-US"/>
        </w:rPr>
        <w:t>And secondly</w:t>
      </w:r>
      <w:r w:rsidR="00641D5A" w:rsidRPr="00F166FD">
        <w:rPr>
          <w:lang w:val="en-US"/>
        </w:rPr>
        <w:t xml:space="preserve">, </w:t>
      </w:r>
      <w:r w:rsidR="007F748E" w:rsidRPr="00F166FD">
        <w:rPr>
          <w:lang w:val="en-US"/>
        </w:rPr>
        <w:t>process sharing</w:t>
      </w:r>
      <w:r w:rsidR="00641D5A" w:rsidRPr="00F166FD">
        <w:rPr>
          <w:lang w:val="en-US"/>
        </w:rPr>
        <w:t xml:space="preserve"> would require interaction </w:t>
      </w:r>
      <w:r w:rsidR="00641D5A" w:rsidRPr="00F166FD">
        <w:rPr>
          <w:lang w:val="en-US"/>
        </w:rPr>
        <w:lastRenderedPageBreak/>
        <w:t>between different</w:t>
      </w:r>
      <w:r w:rsidR="007F748E" w:rsidRPr="00F166FD">
        <w:rPr>
          <w:lang w:val="en-US"/>
        </w:rPr>
        <w:t xml:space="preserve"> UE’s</w:t>
      </w:r>
      <w:r w:rsidR="00641D5A" w:rsidRPr="00F166FD">
        <w:rPr>
          <w:lang w:val="en-US"/>
        </w:rPr>
        <w:t xml:space="preserve"> base-bands</w:t>
      </w:r>
      <w:r w:rsidR="007F748E" w:rsidRPr="00F166FD">
        <w:rPr>
          <w:lang w:val="en-US"/>
        </w:rPr>
        <w:t xml:space="preserve">, which could operate </w:t>
      </w:r>
      <w:r w:rsidRPr="00F166FD">
        <w:rPr>
          <w:lang w:val="en-US"/>
        </w:rPr>
        <w:t xml:space="preserve">with </w:t>
      </w:r>
      <w:r w:rsidR="007F748E" w:rsidRPr="00F166FD">
        <w:rPr>
          <w:lang w:val="en-US"/>
        </w:rPr>
        <w:t xml:space="preserve">different numerology and </w:t>
      </w:r>
      <w:r w:rsidRPr="00F166FD">
        <w:rPr>
          <w:lang w:val="en-US"/>
        </w:rPr>
        <w:t xml:space="preserve">having different </w:t>
      </w:r>
      <w:r w:rsidR="007F748E" w:rsidRPr="00F166FD">
        <w:rPr>
          <w:lang w:val="en-US"/>
        </w:rPr>
        <w:t>BW. This imposes to</w:t>
      </w:r>
      <w:r w:rsidR="00072577" w:rsidRPr="00F166FD">
        <w:rPr>
          <w:lang w:val="en-US"/>
        </w:rPr>
        <w:t>o</w:t>
      </w:r>
      <w:r w:rsidR="007F748E" w:rsidRPr="00F166FD">
        <w:rPr>
          <w:lang w:val="en-US"/>
        </w:rPr>
        <w:t xml:space="preserve"> much complexity for only a small benefit</w:t>
      </w:r>
      <w:r w:rsidR="00CB6E3B" w:rsidRPr="00F166FD">
        <w:rPr>
          <w:lang w:val="en-US"/>
        </w:rPr>
        <w:t>.</w:t>
      </w:r>
    </w:p>
    <w:p w14:paraId="182220B8" w14:textId="593C5C10" w:rsidR="001D105C" w:rsidRPr="00F166FD" w:rsidRDefault="001D105C" w:rsidP="00CB6E3B">
      <w:pPr>
        <w:jc w:val="both"/>
        <w:rPr>
          <w:b/>
          <w:lang w:val="en-US"/>
        </w:rPr>
      </w:pPr>
      <w:r w:rsidRPr="00F166FD">
        <w:rPr>
          <w:b/>
          <w:lang w:val="en-US"/>
        </w:rPr>
        <w:t>Proposal</w:t>
      </w:r>
      <w:r w:rsidR="00CB6E3B" w:rsidRPr="00F166FD">
        <w:rPr>
          <w:b/>
          <w:lang w:val="en-US"/>
        </w:rPr>
        <w:t>-7</w:t>
      </w:r>
      <w:r w:rsidRPr="00F166FD">
        <w:rPr>
          <w:b/>
          <w:lang w:val="en-US"/>
        </w:rPr>
        <w:t xml:space="preserve">: </w:t>
      </w:r>
      <w:r w:rsidR="00950727" w:rsidRPr="00F166FD">
        <w:rPr>
          <w:b/>
          <w:lang w:val="en-US"/>
        </w:rPr>
        <w:t>D</w:t>
      </w:r>
      <w:r w:rsidR="00D85C0E" w:rsidRPr="00F166FD">
        <w:rPr>
          <w:b/>
          <w:lang w:val="en-US"/>
        </w:rPr>
        <w:t xml:space="preserve">ynamic </w:t>
      </w:r>
      <w:r w:rsidRPr="00F166FD">
        <w:rPr>
          <w:b/>
          <w:lang w:val="en-US"/>
        </w:rPr>
        <w:t xml:space="preserve">HARQ processes </w:t>
      </w:r>
      <w:r w:rsidR="00072577" w:rsidRPr="00F166FD">
        <w:rPr>
          <w:b/>
          <w:lang w:val="en-US"/>
        </w:rPr>
        <w:t>sharing</w:t>
      </w:r>
      <w:r w:rsidRPr="00F166FD">
        <w:rPr>
          <w:b/>
          <w:lang w:val="en-US"/>
        </w:rPr>
        <w:t xml:space="preserve"> between CCs</w:t>
      </w:r>
      <w:r w:rsidR="00072577" w:rsidRPr="00F166FD">
        <w:rPr>
          <w:b/>
          <w:lang w:val="en-US"/>
        </w:rPr>
        <w:t xml:space="preserve"> is not supported</w:t>
      </w:r>
      <w:r w:rsidRPr="00F166FD">
        <w:rPr>
          <w:b/>
          <w:lang w:val="en-US"/>
        </w:rPr>
        <w:t xml:space="preserve">, i.e. a HARQ process initiated on one CC cannot be re-transmitted on the other CC. </w:t>
      </w:r>
    </w:p>
    <w:p w14:paraId="389C8638" w14:textId="77777777" w:rsidR="00241FCC" w:rsidRPr="00F166FD" w:rsidRDefault="00241FCC" w:rsidP="0072314A">
      <w:pPr>
        <w:rPr>
          <w:b/>
          <w:lang w:val="en-US"/>
        </w:rPr>
      </w:pPr>
    </w:p>
    <w:bookmarkEnd w:id="3"/>
    <w:bookmarkEnd w:id="4"/>
    <w:p w14:paraId="3BC759D8" w14:textId="2F41B353" w:rsidR="005B6509" w:rsidRPr="00C23119" w:rsidRDefault="00BC1266" w:rsidP="005B6509">
      <w:pPr>
        <w:pStyle w:val="Heading1"/>
        <w:rPr>
          <w:lang w:val="en-US"/>
        </w:rPr>
      </w:pPr>
      <w:r>
        <w:rPr>
          <w:lang w:val="en-US"/>
        </w:rPr>
        <w:t>4</w:t>
      </w:r>
      <w:r w:rsidR="00F166FD">
        <w:rPr>
          <w:lang w:val="en-US"/>
        </w:rPr>
        <w:t xml:space="preserve"> </w:t>
      </w:r>
      <w:r w:rsidR="005B6509" w:rsidRPr="00C23119">
        <w:rPr>
          <w:lang w:val="en-US"/>
        </w:rPr>
        <w:t>Conclusion</w:t>
      </w:r>
      <w:r w:rsidR="00A07F41" w:rsidRPr="00C23119">
        <w:rPr>
          <w:lang w:val="en-US"/>
        </w:rPr>
        <w:t>s</w:t>
      </w:r>
    </w:p>
    <w:p w14:paraId="69CE8FC7" w14:textId="77777777" w:rsidR="001F1089" w:rsidRPr="00F166FD" w:rsidRDefault="001F1089" w:rsidP="00CB6E3B">
      <w:pPr>
        <w:jc w:val="both"/>
        <w:rPr>
          <w:lang w:val="en-US"/>
        </w:rPr>
      </w:pPr>
      <w:bookmarkStart w:id="8" w:name="OLE_LINK43"/>
      <w:bookmarkStart w:id="9" w:name="OLE_LINK44"/>
      <w:bookmarkStart w:id="10" w:name="OLE_LINK34"/>
      <w:bookmarkStart w:id="11" w:name="OLE_LINK35"/>
      <w:r w:rsidRPr="00F166FD">
        <w:rPr>
          <w:lang w:val="en-US"/>
        </w:rPr>
        <w:t>In this contribution</w:t>
      </w:r>
      <w:r w:rsidR="006D7C55" w:rsidRPr="00F166FD">
        <w:rPr>
          <w:lang w:val="en-US"/>
        </w:rPr>
        <w:t>,</w:t>
      </w:r>
      <w:r w:rsidRPr="00F166FD">
        <w:rPr>
          <w:lang w:val="en-US"/>
        </w:rPr>
        <w:t xml:space="preserve"> </w:t>
      </w:r>
      <w:r w:rsidR="005A2DA3" w:rsidRPr="00F166FD">
        <w:rPr>
          <w:lang w:val="en-US"/>
        </w:rPr>
        <w:t xml:space="preserve">we have discussed </w:t>
      </w:r>
      <w:r w:rsidR="00593F51" w:rsidRPr="00F166FD">
        <w:rPr>
          <w:lang w:val="en-US"/>
        </w:rPr>
        <w:t>aspects of NR carrier aggregation and we have the following observations and proposals:</w:t>
      </w:r>
    </w:p>
    <w:bookmarkEnd w:id="8"/>
    <w:bookmarkEnd w:id="9"/>
    <w:bookmarkEnd w:id="10"/>
    <w:bookmarkEnd w:id="11"/>
    <w:p w14:paraId="513430B2" w14:textId="77777777" w:rsidR="00F166FD" w:rsidRPr="008A6BFA" w:rsidRDefault="00F166FD" w:rsidP="00F166FD">
      <w:pPr>
        <w:jc w:val="both"/>
        <w:rPr>
          <w:b/>
          <w:lang w:val="en-US"/>
        </w:rPr>
      </w:pPr>
      <w:r w:rsidRPr="008A6BFA">
        <w:rPr>
          <w:b/>
          <w:lang w:val="en-US"/>
        </w:rPr>
        <w:t xml:space="preserve">Proposal-1: Support at least two cell-groups per UE to enable dual connectivity. Further study the feasibility of supporting more than two cell-groups per UE. </w:t>
      </w:r>
    </w:p>
    <w:p w14:paraId="5A3CFFA5" w14:textId="77777777" w:rsidR="00F166FD" w:rsidRPr="008A6BFA" w:rsidRDefault="00F166FD" w:rsidP="00F166FD">
      <w:pPr>
        <w:jc w:val="both"/>
        <w:rPr>
          <w:b/>
          <w:lang w:val="en-US"/>
        </w:rPr>
      </w:pPr>
      <w:r w:rsidRPr="008A6BFA">
        <w:rPr>
          <w:b/>
          <w:lang w:val="en-US"/>
        </w:rPr>
        <w:t>Proposal-2: In NR, a primary cell:</w:t>
      </w:r>
    </w:p>
    <w:p w14:paraId="712834C1" w14:textId="77777777" w:rsidR="00F166FD" w:rsidRPr="008A6BFA" w:rsidRDefault="00F166FD" w:rsidP="00F166FD">
      <w:pPr>
        <w:pStyle w:val="ListParagraph"/>
        <w:numPr>
          <w:ilvl w:val="0"/>
          <w:numId w:val="38"/>
        </w:numPr>
        <w:jc w:val="both"/>
        <w:rPr>
          <w:lang w:val="en-US"/>
        </w:rPr>
      </w:pPr>
      <w:r w:rsidRPr="008A6BFA">
        <w:rPr>
          <w:b/>
          <w:lang w:val="en-US"/>
        </w:rPr>
        <w:t>consists of UL CC and DL CC that carry the RRC connection, UCI and common search space.</w:t>
      </w:r>
    </w:p>
    <w:p w14:paraId="2E7CCBD2" w14:textId="77777777" w:rsidR="00F166FD" w:rsidRPr="008A6BFA" w:rsidRDefault="00F166FD" w:rsidP="00F166FD">
      <w:pPr>
        <w:pStyle w:val="ListParagraph"/>
        <w:numPr>
          <w:ilvl w:val="0"/>
          <w:numId w:val="38"/>
        </w:numPr>
        <w:jc w:val="both"/>
        <w:rPr>
          <w:lang w:val="en-US"/>
        </w:rPr>
      </w:pPr>
      <w:r w:rsidRPr="008A6BFA">
        <w:rPr>
          <w:b/>
          <w:lang w:val="en-US"/>
        </w:rPr>
        <w:t>DL PCC is always self-scheduled.</w:t>
      </w:r>
    </w:p>
    <w:p w14:paraId="04A40CF0" w14:textId="77777777" w:rsidR="00F166FD" w:rsidRPr="008A6BFA" w:rsidRDefault="00F166FD" w:rsidP="00F166FD">
      <w:pPr>
        <w:pStyle w:val="ListParagraph"/>
        <w:numPr>
          <w:ilvl w:val="0"/>
          <w:numId w:val="38"/>
        </w:numPr>
        <w:jc w:val="both"/>
        <w:rPr>
          <w:lang w:val="en-US"/>
        </w:rPr>
      </w:pPr>
      <w:r w:rsidRPr="008A6BFA">
        <w:rPr>
          <w:b/>
          <w:lang w:val="en-US"/>
        </w:rPr>
        <w:t xml:space="preserve">FFS: UL and/or DL PCC can be semi-statically changed between CCs of a cell-group. </w:t>
      </w:r>
    </w:p>
    <w:p w14:paraId="2490F7E8" w14:textId="77777777" w:rsidR="00F166FD" w:rsidRPr="00F166FD" w:rsidRDefault="00F166FD" w:rsidP="00F166FD">
      <w:pPr>
        <w:jc w:val="both"/>
        <w:rPr>
          <w:b/>
          <w:lang w:val="en-US"/>
        </w:rPr>
      </w:pPr>
      <w:r w:rsidRPr="00F166FD">
        <w:rPr>
          <w:b/>
          <w:lang w:val="en-US"/>
        </w:rPr>
        <w:t xml:space="preserve">Proposal-3: SCC can be UL-only CC, DL-only CC or </w:t>
      </w:r>
      <w:r>
        <w:rPr>
          <w:b/>
          <w:lang w:val="en-US"/>
        </w:rPr>
        <w:t>UL&amp;DL</w:t>
      </w:r>
      <w:r w:rsidRPr="00F166FD">
        <w:rPr>
          <w:b/>
          <w:lang w:val="en-US"/>
        </w:rPr>
        <w:t xml:space="preserve"> CC.</w:t>
      </w:r>
    </w:p>
    <w:p w14:paraId="688332E8" w14:textId="77777777" w:rsidR="00F166FD" w:rsidRPr="008B01A6" w:rsidRDefault="00F166FD" w:rsidP="00F166FD">
      <w:pPr>
        <w:pStyle w:val="Caption"/>
        <w:jc w:val="both"/>
        <w:rPr>
          <w:lang w:val="en-US"/>
        </w:rPr>
      </w:pPr>
      <w:r w:rsidRPr="008B01A6">
        <w:rPr>
          <w:lang w:val="en-US"/>
        </w:rPr>
        <w:t>Proposal</w:t>
      </w:r>
      <w:r>
        <w:rPr>
          <w:lang w:val="en-US"/>
        </w:rPr>
        <w:t>-4</w:t>
      </w:r>
      <w:r w:rsidRPr="008B01A6">
        <w:rPr>
          <w:lang w:val="en-US"/>
        </w:rPr>
        <w:t>: Support a maximum of 8 DL component carriers per</w:t>
      </w:r>
      <w:r>
        <w:rPr>
          <w:lang w:val="en-US"/>
        </w:rPr>
        <w:t xml:space="preserve"> NR cell-</w:t>
      </w:r>
      <w:r w:rsidRPr="008B01A6">
        <w:rPr>
          <w:lang w:val="en-US"/>
        </w:rPr>
        <w:t>group</w:t>
      </w:r>
      <w:r>
        <w:rPr>
          <w:lang w:val="en-US"/>
        </w:rPr>
        <w:t xml:space="preserve"> and restrict the NR cross-carrier scheduling operation to maximum of 8 scheduled CCs from a single scheduling DL CC</w:t>
      </w:r>
      <w:r w:rsidRPr="008B01A6">
        <w:rPr>
          <w:lang w:val="en-US"/>
        </w:rPr>
        <w:t xml:space="preserve">. To support 16 DL component carriers two </w:t>
      </w:r>
      <w:r>
        <w:rPr>
          <w:lang w:val="en-US"/>
        </w:rPr>
        <w:t>NR cell-groups</w:t>
      </w:r>
      <w:r w:rsidRPr="008B01A6">
        <w:rPr>
          <w:lang w:val="en-US"/>
        </w:rPr>
        <w:t xml:space="preserve"> are to be configured. </w:t>
      </w:r>
    </w:p>
    <w:p w14:paraId="0C44CDE5" w14:textId="77777777" w:rsidR="00F166FD" w:rsidRPr="00F166FD" w:rsidRDefault="00F166FD" w:rsidP="00F166FD">
      <w:pPr>
        <w:jc w:val="both"/>
        <w:rPr>
          <w:b/>
          <w:lang w:val="en-US"/>
        </w:rPr>
      </w:pPr>
      <w:r w:rsidRPr="00F166FD">
        <w:rPr>
          <w:b/>
          <w:lang w:val="en-US"/>
        </w:rPr>
        <w:t xml:space="preserve">Proposal-5: NR gNB can configure to a UE at least 4 TAGs, where each TAG contains at least one serving cell with configured uplink. FFS on whether more than 4 TAGs can be configured. </w:t>
      </w:r>
    </w:p>
    <w:p w14:paraId="469B74FA" w14:textId="77777777" w:rsidR="00F166FD" w:rsidRPr="00F166FD" w:rsidRDefault="00F166FD" w:rsidP="00F166FD">
      <w:pPr>
        <w:jc w:val="both"/>
        <w:rPr>
          <w:b/>
          <w:lang w:val="en-US"/>
        </w:rPr>
      </w:pPr>
      <w:r w:rsidRPr="00F166FD">
        <w:rPr>
          <w:b/>
          <w:lang w:val="en-US"/>
        </w:rPr>
        <w:t>Proposal-6: Support a semi-static allocation or configuration of the maximum number of HARQ processes per configured CC to enable efficient soft-buffer management.</w:t>
      </w:r>
    </w:p>
    <w:p w14:paraId="54E369CB" w14:textId="77777777" w:rsidR="00F166FD" w:rsidRPr="00F166FD" w:rsidRDefault="00F166FD" w:rsidP="00F166FD">
      <w:pPr>
        <w:jc w:val="both"/>
        <w:rPr>
          <w:b/>
          <w:lang w:val="en-US"/>
        </w:rPr>
      </w:pPr>
      <w:r w:rsidRPr="00F166FD">
        <w:rPr>
          <w:b/>
          <w:lang w:val="en-US"/>
        </w:rPr>
        <w:t xml:space="preserve">Proposal-7: Dynamic HARQ processes sharing between CCs is not supported, i.e. a HARQ process initiated on one CC cannot be re-transmitted on the other CC. </w:t>
      </w:r>
    </w:p>
    <w:p w14:paraId="1759794C" w14:textId="77777777" w:rsidR="008578E9" w:rsidRPr="00F166FD" w:rsidRDefault="008578E9" w:rsidP="00D90D83">
      <w:pPr>
        <w:pStyle w:val="B1"/>
        <w:rPr>
          <w:rFonts w:ascii="Times New Roman"/>
          <w:sz w:val="20"/>
          <w:szCs w:val="20"/>
          <w:lang w:val="en-US"/>
        </w:rPr>
      </w:pP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lang w:val="en-US"/>
        </w:rPr>
      </w:pPr>
      <w:r w:rsidRPr="0039030A">
        <w:rPr>
          <w:rFonts w:ascii="Arial" w:hAnsi="Arial"/>
          <w:sz w:val="36"/>
          <w:lang w:val="en-US"/>
        </w:rPr>
        <w:t>References</w:t>
      </w:r>
    </w:p>
    <w:p w14:paraId="30EC385F" w14:textId="77777777" w:rsidR="00CA6957" w:rsidRPr="0039030A" w:rsidRDefault="00CA6957" w:rsidP="00CA6957">
      <w:pPr>
        <w:pStyle w:val="ListParagraph"/>
        <w:numPr>
          <w:ilvl w:val="0"/>
          <w:numId w:val="1"/>
        </w:numPr>
        <w:spacing w:after="120"/>
        <w:jc w:val="both"/>
        <w:rPr>
          <w:rFonts w:ascii="Times New Roman"/>
          <w:sz w:val="20"/>
          <w:lang w:val="en-US"/>
        </w:rPr>
      </w:pPr>
      <w:bookmarkStart w:id="12" w:name="_Ref477708358"/>
      <w:bookmarkStart w:id="13" w:name="_Ref477708147"/>
      <w:bookmarkStart w:id="14" w:name="_Ref449465801"/>
      <w:r w:rsidRPr="0039030A">
        <w:rPr>
          <w:rFonts w:ascii="Times New Roman"/>
          <w:sz w:val="20"/>
          <w:lang w:val="en-US"/>
        </w:rPr>
        <w:t xml:space="preserve">RP-170847, </w:t>
      </w:r>
      <w:r w:rsidRPr="0039030A">
        <w:rPr>
          <w:rFonts w:ascii="Times New Roman"/>
          <w:sz w:val="20"/>
          <w:lang w:val="en-US"/>
        </w:rPr>
        <w:t>“</w:t>
      </w:r>
      <w:r w:rsidRPr="0039030A">
        <w:rPr>
          <w:rFonts w:ascii="Times New Roman"/>
          <w:sz w:val="20"/>
          <w:lang w:val="en-US"/>
        </w:rPr>
        <w:t>New WID on New Radio Access Technology</w:t>
      </w:r>
      <w:r w:rsidRPr="0039030A">
        <w:rPr>
          <w:rFonts w:ascii="Times New Roman"/>
          <w:sz w:val="20"/>
          <w:lang w:val="en-US"/>
        </w:rPr>
        <w:t>”</w:t>
      </w:r>
      <w:r w:rsidRPr="0039030A">
        <w:rPr>
          <w:rFonts w:ascii="Times New Roman"/>
          <w:sz w:val="20"/>
          <w:lang w:val="en-US"/>
        </w:rPr>
        <w:t xml:space="preserve">, NTT DOCOMO, INC., RAN 75, Dubrovnik, </w:t>
      </w:r>
      <w:r w:rsidR="00D90CD0" w:rsidRPr="0039030A">
        <w:rPr>
          <w:rFonts w:ascii="Times New Roman"/>
          <w:sz w:val="20"/>
          <w:lang w:val="en-US"/>
        </w:rPr>
        <w:t>Croatia</w:t>
      </w:r>
      <w:r w:rsidRPr="0039030A">
        <w:rPr>
          <w:rFonts w:ascii="Times New Roman"/>
          <w:sz w:val="20"/>
          <w:lang w:val="en-US"/>
        </w:rPr>
        <w:t>, March 6 - 9, 2017</w:t>
      </w:r>
      <w:bookmarkEnd w:id="12"/>
    </w:p>
    <w:p w14:paraId="713B6B0D" w14:textId="17C6E574" w:rsidR="001738A8" w:rsidRPr="0039030A" w:rsidRDefault="001738A8" w:rsidP="00CF1690">
      <w:pPr>
        <w:pStyle w:val="ListParagraph"/>
        <w:numPr>
          <w:ilvl w:val="0"/>
          <w:numId w:val="1"/>
        </w:numPr>
        <w:spacing w:after="120"/>
        <w:jc w:val="both"/>
        <w:rPr>
          <w:rFonts w:ascii="Times New Roman"/>
          <w:sz w:val="20"/>
          <w:lang w:val="en-US"/>
        </w:rPr>
      </w:pPr>
      <w:bookmarkStart w:id="15" w:name="_Ref477708608"/>
      <w:r w:rsidRPr="0039030A">
        <w:rPr>
          <w:rFonts w:ascii="Times New Roman"/>
          <w:sz w:val="20"/>
          <w:lang w:val="en-US"/>
        </w:rPr>
        <w:t>TR36.802 Study on New Radio (NR) Access Technology, Physical Layer Aspects, (Release 14)</w:t>
      </w:r>
      <w:bookmarkEnd w:id="13"/>
      <w:bookmarkEnd w:id="15"/>
    </w:p>
    <w:p w14:paraId="45833D5C" w14:textId="68609D6F" w:rsidR="00A46845" w:rsidRPr="0039030A" w:rsidRDefault="00A46845" w:rsidP="00CB6E3B">
      <w:pPr>
        <w:pStyle w:val="ListParagraph"/>
        <w:numPr>
          <w:ilvl w:val="0"/>
          <w:numId w:val="1"/>
        </w:numPr>
        <w:spacing w:after="120"/>
        <w:jc w:val="both"/>
        <w:rPr>
          <w:rFonts w:ascii="Times New Roman"/>
          <w:sz w:val="20"/>
          <w:lang w:val="en-US"/>
        </w:rPr>
      </w:pPr>
      <w:bookmarkStart w:id="16" w:name="_Ref485372807"/>
      <w:r w:rsidRPr="0039030A">
        <w:rPr>
          <w:rFonts w:ascii="Times New Roman"/>
          <w:sz w:val="20"/>
          <w:lang w:val="en-US"/>
        </w:rPr>
        <w:t>R1-17</w:t>
      </w:r>
      <w:r w:rsidR="00CB6E3B" w:rsidRPr="0039030A">
        <w:rPr>
          <w:rFonts w:ascii="Times New Roman"/>
          <w:sz w:val="20"/>
          <w:lang w:val="en-US"/>
        </w:rPr>
        <w:t>11001</w:t>
      </w:r>
      <w:r w:rsidRPr="0039030A">
        <w:rPr>
          <w:rFonts w:ascii="Times New Roman"/>
          <w:sz w:val="20"/>
          <w:lang w:val="en-US"/>
        </w:rPr>
        <w:t xml:space="preserve">, </w:t>
      </w:r>
      <w:r w:rsidRPr="0039030A">
        <w:rPr>
          <w:rFonts w:ascii="Times New Roman"/>
          <w:sz w:val="20"/>
          <w:lang w:val="en-US"/>
        </w:rPr>
        <w:t>“</w:t>
      </w:r>
      <w:r w:rsidRPr="0039030A">
        <w:rPr>
          <w:rFonts w:ascii="Times New Roman"/>
          <w:sz w:val="20"/>
          <w:lang w:val="en-US"/>
        </w:rPr>
        <w:t>On the HARQ soft buffer handling</w:t>
      </w:r>
      <w:r w:rsidRPr="0039030A">
        <w:rPr>
          <w:rFonts w:ascii="Times New Roman"/>
          <w:sz w:val="20"/>
          <w:lang w:val="en-US"/>
        </w:rPr>
        <w:t>”</w:t>
      </w:r>
      <w:r w:rsidRPr="0039030A">
        <w:rPr>
          <w:rFonts w:ascii="Times New Roman"/>
          <w:sz w:val="20"/>
          <w:lang w:val="en-US"/>
        </w:rPr>
        <w:t xml:space="preserve">, </w:t>
      </w:r>
      <w:r w:rsidR="00CB6E3B" w:rsidRPr="0039030A">
        <w:rPr>
          <w:rFonts w:ascii="Times New Roman"/>
          <w:sz w:val="20"/>
          <w:lang w:val="en-US"/>
        </w:rPr>
        <w:t>Nokia, Alcatel-Lucent Shanghai Bell</w:t>
      </w:r>
      <w:r w:rsidRPr="0039030A">
        <w:rPr>
          <w:rFonts w:ascii="Times New Roman"/>
          <w:sz w:val="20"/>
          <w:lang w:val="en-US"/>
        </w:rPr>
        <w:t>, RAN</w:t>
      </w:r>
      <w:r w:rsidR="00CB6E3B" w:rsidRPr="0039030A">
        <w:rPr>
          <w:rFonts w:ascii="Times New Roman"/>
          <w:sz w:val="20"/>
          <w:lang w:val="en-US"/>
        </w:rPr>
        <w:t>1 NR#2</w:t>
      </w:r>
      <w:r w:rsidRPr="0039030A">
        <w:rPr>
          <w:rFonts w:ascii="Times New Roman"/>
          <w:sz w:val="20"/>
          <w:lang w:val="en-US"/>
        </w:rPr>
        <w:t xml:space="preserve">, </w:t>
      </w:r>
      <w:r w:rsidR="00CB6E3B" w:rsidRPr="0039030A">
        <w:rPr>
          <w:rFonts w:ascii="Times New Roman"/>
          <w:sz w:val="20"/>
          <w:lang w:val="en-US"/>
        </w:rPr>
        <w:t>Qingdao</w:t>
      </w:r>
      <w:r w:rsidRPr="0039030A">
        <w:rPr>
          <w:rFonts w:ascii="Times New Roman"/>
          <w:sz w:val="20"/>
          <w:lang w:val="en-US"/>
        </w:rPr>
        <w:t xml:space="preserve">, </w:t>
      </w:r>
      <w:r w:rsidR="00CB6E3B" w:rsidRPr="0039030A">
        <w:rPr>
          <w:rFonts w:ascii="Times New Roman"/>
          <w:sz w:val="20"/>
          <w:lang w:val="en-US"/>
        </w:rPr>
        <w:t>China</w:t>
      </w:r>
      <w:r w:rsidRPr="0039030A">
        <w:rPr>
          <w:rFonts w:ascii="Times New Roman"/>
          <w:sz w:val="20"/>
          <w:lang w:val="en-US"/>
        </w:rPr>
        <w:t xml:space="preserve">, </w:t>
      </w:r>
      <w:r w:rsidR="00CB6E3B" w:rsidRPr="0039030A">
        <w:rPr>
          <w:rFonts w:ascii="Times New Roman"/>
          <w:sz w:val="20"/>
          <w:lang w:val="en-US"/>
        </w:rPr>
        <w:t>June</w:t>
      </w:r>
      <w:r w:rsidRPr="0039030A">
        <w:rPr>
          <w:rFonts w:ascii="Times New Roman"/>
          <w:sz w:val="20"/>
          <w:lang w:val="en-US"/>
        </w:rPr>
        <w:t xml:space="preserve"> </w:t>
      </w:r>
      <w:r w:rsidR="00CB6E3B" w:rsidRPr="0039030A">
        <w:rPr>
          <w:rFonts w:ascii="Times New Roman"/>
          <w:sz w:val="20"/>
          <w:lang w:val="en-US"/>
        </w:rPr>
        <w:t>27</w:t>
      </w:r>
      <w:r w:rsidRPr="0039030A">
        <w:rPr>
          <w:rFonts w:ascii="Times New Roman"/>
          <w:sz w:val="20"/>
          <w:lang w:val="en-US"/>
        </w:rPr>
        <w:t xml:space="preserve"> - </w:t>
      </w:r>
      <w:r w:rsidR="00CB6E3B" w:rsidRPr="0039030A">
        <w:rPr>
          <w:rFonts w:ascii="Times New Roman"/>
          <w:sz w:val="20"/>
          <w:lang w:val="en-US"/>
        </w:rPr>
        <w:t>30</w:t>
      </w:r>
      <w:r w:rsidRPr="0039030A">
        <w:rPr>
          <w:rFonts w:ascii="Times New Roman"/>
          <w:sz w:val="20"/>
          <w:lang w:val="en-US"/>
        </w:rPr>
        <w:t>, 2017</w:t>
      </w:r>
      <w:bookmarkEnd w:id="16"/>
    </w:p>
    <w:p w14:paraId="445D432B" w14:textId="77777777" w:rsidR="00A46845" w:rsidRPr="0039030A" w:rsidRDefault="00A46845" w:rsidP="00A46845">
      <w:pPr>
        <w:pStyle w:val="ListParagraph"/>
        <w:spacing w:after="120"/>
        <w:ind w:left="360"/>
        <w:jc w:val="both"/>
        <w:rPr>
          <w:rFonts w:ascii="Times New Roman"/>
          <w:sz w:val="20"/>
          <w:lang w:val="en-US"/>
        </w:rPr>
      </w:pPr>
    </w:p>
    <w:bookmarkEnd w:id="14"/>
    <w:p w14:paraId="41027080" w14:textId="77777777" w:rsidR="00013369" w:rsidRPr="00F166FD" w:rsidRDefault="00013369" w:rsidP="000C6964">
      <w:pPr>
        <w:spacing w:after="120"/>
        <w:jc w:val="both"/>
        <w:rPr>
          <w:rFonts w:ascii="Times New Roman"/>
          <w:sz w:val="20"/>
          <w:lang w:val="en-US"/>
        </w:rPr>
      </w:pPr>
    </w:p>
    <w:p w14:paraId="15A2AA2E"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4E572" w14:textId="77777777" w:rsidR="00564693" w:rsidRDefault="00564693">
      <w:r>
        <w:separator/>
      </w:r>
    </w:p>
  </w:endnote>
  <w:endnote w:type="continuationSeparator" w:id="0">
    <w:p w14:paraId="6EDEEAC6" w14:textId="77777777" w:rsidR="00564693" w:rsidRDefault="0056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10173" w14:textId="77777777" w:rsidR="00564693" w:rsidRDefault="00564693">
      <w:r>
        <w:separator/>
      </w:r>
    </w:p>
  </w:footnote>
  <w:footnote w:type="continuationSeparator" w:id="0">
    <w:p w14:paraId="0368EB25" w14:textId="77777777" w:rsidR="00564693" w:rsidRDefault="00564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hint="default"/>
      </w:rPr>
    </w:lvl>
    <w:lvl w:ilvl="1" w:tplc="717AD980">
      <w:numFmt w:val="bullet"/>
      <w:lvlText w:val="-"/>
      <w:lvlJc w:val="left"/>
      <w:pPr>
        <w:tabs>
          <w:tab w:val="num" w:pos="1364"/>
        </w:tabs>
        <w:ind w:left="1364" w:hanging="360"/>
      </w:pPr>
      <w:rPr>
        <w:rFonts w:ascii="Lucida Grande" w:hAnsi="Lucida Grande" w:hint="default"/>
      </w:rPr>
    </w:lvl>
    <w:lvl w:ilvl="2" w:tplc="9ADA12D0" w:tentative="1">
      <w:start w:val="1"/>
      <w:numFmt w:val="bullet"/>
      <w:lvlText w:val="•"/>
      <w:lvlJc w:val="left"/>
      <w:pPr>
        <w:tabs>
          <w:tab w:val="num" w:pos="2084"/>
        </w:tabs>
        <w:ind w:left="2084" w:hanging="360"/>
      </w:pPr>
      <w:rPr>
        <w:rFonts w:ascii="Arial" w:hAnsi="Arial" w:hint="default"/>
      </w:rPr>
    </w:lvl>
    <w:lvl w:ilvl="3" w:tplc="1B389F3A" w:tentative="1">
      <w:start w:val="1"/>
      <w:numFmt w:val="bullet"/>
      <w:lvlText w:val="•"/>
      <w:lvlJc w:val="left"/>
      <w:pPr>
        <w:tabs>
          <w:tab w:val="num" w:pos="2804"/>
        </w:tabs>
        <w:ind w:left="2804" w:hanging="360"/>
      </w:pPr>
      <w:rPr>
        <w:rFonts w:ascii="Arial" w:hAnsi="Arial" w:hint="default"/>
      </w:rPr>
    </w:lvl>
    <w:lvl w:ilvl="4" w:tplc="1526BEF4" w:tentative="1">
      <w:start w:val="1"/>
      <w:numFmt w:val="bullet"/>
      <w:lvlText w:val="•"/>
      <w:lvlJc w:val="left"/>
      <w:pPr>
        <w:tabs>
          <w:tab w:val="num" w:pos="3524"/>
        </w:tabs>
        <w:ind w:left="3524" w:hanging="360"/>
      </w:pPr>
      <w:rPr>
        <w:rFonts w:ascii="Arial" w:hAnsi="Arial" w:hint="default"/>
      </w:rPr>
    </w:lvl>
    <w:lvl w:ilvl="5" w:tplc="2A30FC02" w:tentative="1">
      <w:start w:val="1"/>
      <w:numFmt w:val="bullet"/>
      <w:lvlText w:val="•"/>
      <w:lvlJc w:val="left"/>
      <w:pPr>
        <w:tabs>
          <w:tab w:val="num" w:pos="4244"/>
        </w:tabs>
        <w:ind w:left="4244" w:hanging="360"/>
      </w:pPr>
      <w:rPr>
        <w:rFonts w:ascii="Arial" w:hAnsi="Arial" w:hint="default"/>
      </w:rPr>
    </w:lvl>
    <w:lvl w:ilvl="6" w:tplc="95485962" w:tentative="1">
      <w:start w:val="1"/>
      <w:numFmt w:val="bullet"/>
      <w:lvlText w:val="•"/>
      <w:lvlJc w:val="left"/>
      <w:pPr>
        <w:tabs>
          <w:tab w:val="num" w:pos="4964"/>
        </w:tabs>
        <w:ind w:left="4964" w:hanging="360"/>
      </w:pPr>
      <w:rPr>
        <w:rFonts w:ascii="Arial" w:hAnsi="Arial" w:hint="default"/>
      </w:rPr>
    </w:lvl>
    <w:lvl w:ilvl="7" w:tplc="A1F25624" w:tentative="1">
      <w:start w:val="1"/>
      <w:numFmt w:val="bullet"/>
      <w:lvlText w:val="•"/>
      <w:lvlJc w:val="left"/>
      <w:pPr>
        <w:tabs>
          <w:tab w:val="num" w:pos="5684"/>
        </w:tabs>
        <w:ind w:left="5684" w:hanging="360"/>
      </w:pPr>
      <w:rPr>
        <w:rFonts w:ascii="Arial" w:hAnsi="Arial" w:hint="default"/>
      </w:rPr>
    </w:lvl>
    <w:lvl w:ilvl="8" w:tplc="04E62DF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145D3E"/>
    <w:multiLevelType w:val="hybridMultilevel"/>
    <w:tmpl w:val="980EDD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F25C99"/>
    <w:multiLevelType w:val="hybridMultilevel"/>
    <w:tmpl w:val="58A2D8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5"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20"/>
  </w:num>
  <w:num w:numId="4">
    <w:abstractNumId w:val="33"/>
  </w:num>
  <w:num w:numId="5">
    <w:abstractNumId w:val="36"/>
  </w:num>
  <w:num w:numId="6">
    <w:abstractNumId w:val="29"/>
  </w:num>
  <w:num w:numId="7">
    <w:abstractNumId w:val="9"/>
  </w:num>
  <w:num w:numId="8">
    <w:abstractNumId w:val="17"/>
  </w:num>
  <w:num w:numId="9">
    <w:abstractNumId w:val="26"/>
  </w:num>
  <w:num w:numId="10">
    <w:abstractNumId w:val="26"/>
    <w:lvlOverride w:ilvl="0">
      <w:startOverride w:val="1"/>
    </w:lvlOverride>
  </w:num>
  <w:num w:numId="11">
    <w:abstractNumId w:val="32"/>
  </w:num>
  <w:num w:numId="12">
    <w:abstractNumId w:val="25"/>
  </w:num>
  <w:num w:numId="13">
    <w:abstractNumId w:val="18"/>
  </w:num>
  <w:num w:numId="14">
    <w:abstractNumId w:val="28"/>
  </w:num>
  <w:num w:numId="15">
    <w:abstractNumId w:val="19"/>
  </w:num>
  <w:num w:numId="16">
    <w:abstractNumId w:val="31"/>
  </w:num>
  <w:num w:numId="17">
    <w:abstractNumId w:val="21"/>
  </w:num>
  <w:num w:numId="18">
    <w:abstractNumId w:val="1"/>
  </w:num>
  <w:num w:numId="19">
    <w:abstractNumId w:val="35"/>
  </w:num>
  <w:num w:numId="20">
    <w:abstractNumId w:val="16"/>
  </w:num>
  <w:num w:numId="21">
    <w:abstractNumId w:val="23"/>
  </w:num>
  <w:num w:numId="22">
    <w:abstractNumId w:val="22"/>
  </w:num>
  <w:num w:numId="23">
    <w:abstractNumId w:val="15"/>
  </w:num>
  <w:num w:numId="24">
    <w:abstractNumId w:val="14"/>
  </w:num>
  <w:num w:numId="25">
    <w:abstractNumId w:val="2"/>
  </w:num>
  <w:num w:numId="26">
    <w:abstractNumId w:val="8"/>
  </w:num>
  <w:num w:numId="27">
    <w:abstractNumId w:val="27"/>
  </w:num>
  <w:num w:numId="28">
    <w:abstractNumId w:val="12"/>
  </w:num>
  <w:num w:numId="29">
    <w:abstractNumId w:val="0"/>
  </w:num>
  <w:num w:numId="30">
    <w:abstractNumId w:val="5"/>
  </w:num>
  <w:num w:numId="31">
    <w:abstractNumId w:val="34"/>
  </w:num>
  <w:num w:numId="32">
    <w:abstractNumId w:val="7"/>
  </w:num>
  <w:num w:numId="33">
    <w:abstractNumId w:val="6"/>
  </w:num>
  <w:num w:numId="34">
    <w:abstractNumId w:val="13"/>
  </w:num>
  <w:num w:numId="35">
    <w:abstractNumId w:val="11"/>
  </w:num>
  <w:num w:numId="36">
    <w:abstractNumId w:val="24"/>
  </w:num>
  <w:num w:numId="37">
    <w:abstractNumId w:val="30"/>
  </w:num>
  <w:num w:numId="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766A"/>
    <w:rsid w:val="00027BB9"/>
    <w:rsid w:val="00027BCE"/>
    <w:rsid w:val="00027CAF"/>
    <w:rsid w:val="00027F0D"/>
    <w:rsid w:val="000304CE"/>
    <w:rsid w:val="00030D5C"/>
    <w:rsid w:val="00031425"/>
    <w:rsid w:val="00031C8B"/>
    <w:rsid w:val="00032523"/>
    <w:rsid w:val="000332E5"/>
    <w:rsid w:val="00033356"/>
    <w:rsid w:val="0003396B"/>
    <w:rsid w:val="000348B5"/>
    <w:rsid w:val="00034CBF"/>
    <w:rsid w:val="0003525C"/>
    <w:rsid w:val="00036747"/>
    <w:rsid w:val="000374FD"/>
    <w:rsid w:val="000403A2"/>
    <w:rsid w:val="00040C6B"/>
    <w:rsid w:val="00041E94"/>
    <w:rsid w:val="000427FB"/>
    <w:rsid w:val="000438B8"/>
    <w:rsid w:val="00043CB2"/>
    <w:rsid w:val="00043DDC"/>
    <w:rsid w:val="00044EE5"/>
    <w:rsid w:val="000452CB"/>
    <w:rsid w:val="00045A94"/>
    <w:rsid w:val="00046A1B"/>
    <w:rsid w:val="00047AD5"/>
    <w:rsid w:val="00047E2C"/>
    <w:rsid w:val="0005018D"/>
    <w:rsid w:val="000502B8"/>
    <w:rsid w:val="00050C10"/>
    <w:rsid w:val="000511F9"/>
    <w:rsid w:val="00051A08"/>
    <w:rsid w:val="00052045"/>
    <w:rsid w:val="00052484"/>
    <w:rsid w:val="0005264D"/>
    <w:rsid w:val="000528A2"/>
    <w:rsid w:val="00052C32"/>
    <w:rsid w:val="00052C54"/>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C4B"/>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5FFC"/>
    <w:rsid w:val="0013602C"/>
    <w:rsid w:val="001365B7"/>
    <w:rsid w:val="00137143"/>
    <w:rsid w:val="00137B0E"/>
    <w:rsid w:val="00137D78"/>
    <w:rsid w:val="00137FAD"/>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8A8"/>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AB6"/>
    <w:rsid w:val="001C4C61"/>
    <w:rsid w:val="001C4CC0"/>
    <w:rsid w:val="001C5DE3"/>
    <w:rsid w:val="001C6A5A"/>
    <w:rsid w:val="001C71B2"/>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85D"/>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97E9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9C4"/>
    <w:rsid w:val="002B4D11"/>
    <w:rsid w:val="002B50EA"/>
    <w:rsid w:val="002B60E3"/>
    <w:rsid w:val="002B6C25"/>
    <w:rsid w:val="002B7215"/>
    <w:rsid w:val="002B72A7"/>
    <w:rsid w:val="002B74ED"/>
    <w:rsid w:val="002B7773"/>
    <w:rsid w:val="002C06B7"/>
    <w:rsid w:val="002C109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609A"/>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B09"/>
    <w:rsid w:val="00435330"/>
    <w:rsid w:val="00435652"/>
    <w:rsid w:val="0043577D"/>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9B"/>
    <w:rsid w:val="004478B9"/>
    <w:rsid w:val="004504B3"/>
    <w:rsid w:val="00450716"/>
    <w:rsid w:val="00450C71"/>
    <w:rsid w:val="00451323"/>
    <w:rsid w:val="0045159A"/>
    <w:rsid w:val="004521DE"/>
    <w:rsid w:val="00453341"/>
    <w:rsid w:val="00454106"/>
    <w:rsid w:val="00454C6B"/>
    <w:rsid w:val="004567B7"/>
    <w:rsid w:val="004569DA"/>
    <w:rsid w:val="00456D13"/>
    <w:rsid w:val="00457671"/>
    <w:rsid w:val="00457A67"/>
    <w:rsid w:val="0046048D"/>
    <w:rsid w:val="004608E9"/>
    <w:rsid w:val="00460FCA"/>
    <w:rsid w:val="00461210"/>
    <w:rsid w:val="00461C9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F1"/>
    <w:rsid w:val="004906F1"/>
    <w:rsid w:val="00490831"/>
    <w:rsid w:val="004918CD"/>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46"/>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583"/>
    <w:rsid w:val="00590003"/>
    <w:rsid w:val="00590508"/>
    <w:rsid w:val="00590779"/>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2732"/>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928"/>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AF1"/>
    <w:rsid w:val="00664C81"/>
    <w:rsid w:val="00664F8B"/>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0D93"/>
    <w:rsid w:val="008620E7"/>
    <w:rsid w:val="008627F9"/>
    <w:rsid w:val="00862C9D"/>
    <w:rsid w:val="00862D90"/>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6FE"/>
    <w:rsid w:val="00897C5A"/>
    <w:rsid w:val="008A1DD7"/>
    <w:rsid w:val="008A3180"/>
    <w:rsid w:val="008A338F"/>
    <w:rsid w:val="008A36E4"/>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8BF"/>
    <w:rsid w:val="00974F09"/>
    <w:rsid w:val="009756ED"/>
    <w:rsid w:val="00976F48"/>
    <w:rsid w:val="00977746"/>
    <w:rsid w:val="00980501"/>
    <w:rsid w:val="0098092C"/>
    <w:rsid w:val="009819E6"/>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C42"/>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4DFA"/>
    <w:rsid w:val="009C51D5"/>
    <w:rsid w:val="009C5F66"/>
    <w:rsid w:val="009C60ED"/>
    <w:rsid w:val="009C6335"/>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575C"/>
    <w:rsid w:val="00A15A9B"/>
    <w:rsid w:val="00A16294"/>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845"/>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4C70"/>
    <w:rsid w:val="00A655AE"/>
    <w:rsid w:val="00A65A8E"/>
    <w:rsid w:val="00A65ED0"/>
    <w:rsid w:val="00A6632C"/>
    <w:rsid w:val="00A6633E"/>
    <w:rsid w:val="00A66D04"/>
    <w:rsid w:val="00A67D68"/>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494A"/>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1D3"/>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9CC"/>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90E"/>
    <w:rsid w:val="00C56FCC"/>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4AA"/>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B54"/>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66FD"/>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3F2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73F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F2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SP-5AIRPNAIUNRU-1830940522-1218</_dlc_DocId>
    <_dlc_DocIdUrl xmlns="71c5aaf6-e6ce-465b-b873-5148d2a4c105">
      <Url>https://nokia.sharepoint.com/sites/c5g/5gradio/_layouts/15/DocIdRedir.aspx?ID=SP-5AIRPNAIUNRU-1830940522-1218</Url>
      <Description>SP-5AIRPNAIUNRU-1830940522-1218</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C72A713D-4F5E-47C1-BFC7-1680EDEDB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1DE630-4B5E-45AF-AB69-565FF26D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1087</Words>
  <Characters>8810</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15</cp:revision>
  <dcterms:created xsi:type="dcterms:W3CDTF">2017-06-16T07:42:00Z</dcterms:created>
  <dcterms:modified xsi:type="dcterms:W3CDTF">2017-06-16T16:29:00Z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06ec8ebf-b641-4a7b-81aa-63df644c971d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